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D380" w14:textId="47BC9143" w:rsidR="00984DFF" w:rsidRDefault="00984DFF" w:rsidP="00C07C67"/>
    <w:p w14:paraId="3CCBA0CE" w14:textId="652D6231" w:rsidR="00D80C8E" w:rsidRPr="00984DFF" w:rsidRDefault="00984DFF" w:rsidP="00C07C67">
      <w:pPr>
        <w:pStyle w:val="Titre1"/>
      </w:pPr>
      <w:r w:rsidRPr="00984DFF">
        <w:t xml:space="preserve">SERVITUDE </w:t>
      </w:r>
      <w:r w:rsidRPr="009C777C">
        <w:t xml:space="preserve">DE </w:t>
      </w:r>
      <w:r w:rsidRPr="00984DFF">
        <w:t>TYPE A</w:t>
      </w:r>
      <w:r w:rsidR="00C73112">
        <w:t>C</w:t>
      </w:r>
      <w:r w:rsidR="00822B5F">
        <w:t>4</w:t>
      </w:r>
      <w:r w:rsidR="00C11BD7">
        <w:t xml:space="preserve"> et</w:t>
      </w:r>
      <w:r w:rsidR="00BF5503">
        <w:br/>
      </w:r>
      <w:r w:rsidR="00C11BD7">
        <w:t>AC4 bis</w:t>
      </w:r>
    </w:p>
    <w:tbl>
      <w:tblPr>
        <w:tblStyle w:val="Grilledutableau"/>
        <w:tblW w:w="0" w:type="auto"/>
        <w:tblLook w:val="04A0" w:firstRow="1" w:lastRow="0" w:firstColumn="1" w:lastColumn="0" w:noHBand="0" w:noVBand="1"/>
      </w:tblPr>
      <w:tblGrid>
        <w:gridCol w:w="9062"/>
      </w:tblGrid>
      <w:tr w:rsidR="00984DFF" w14:paraId="65C13464" w14:textId="77777777" w:rsidTr="00984DFF">
        <w:trPr>
          <w:trHeight w:val="1074"/>
        </w:trPr>
        <w:tc>
          <w:tcPr>
            <w:tcW w:w="9062" w:type="dxa"/>
            <w:tcBorders>
              <w:top w:val="nil"/>
              <w:left w:val="nil"/>
              <w:bottom w:val="nil"/>
              <w:right w:val="nil"/>
            </w:tcBorders>
            <w:shd w:val="clear" w:color="auto" w:fill="D9D9D9" w:themeFill="background1" w:themeFillShade="D9"/>
            <w:vAlign w:val="center"/>
          </w:tcPr>
          <w:p w14:paraId="6AE4C75D" w14:textId="6469C86A" w:rsidR="00984DFF" w:rsidRPr="00984DFF" w:rsidRDefault="00B87FA0" w:rsidP="00C07C67">
            <w:pPr>
              <w:pStyle w:val="Titre2"/>
              <w:outlineLvl w:val="1"/>
            </w:pPr>
            <w:r w:rsidRPr="00BF5503">
              <w:t xml:space="preserve">SITES </w:t>
            </w:r>
            <w:r w:rsidR="00C11BD7" w:rsidRPr="00BF5503">
              <w:t>PATRIMONIAUX REMARQUABLES ET PLANS DE VALORISATION DE L’ARCHITECTURE ET DU PATRIMOINE</w:t>
            </w:r>
          </w:p>
        </w:tc>
      </w:tr>
    </w:tbl>
    <w:p w14:paraId="4003D90A" w14:textId="7AEB9B53" w:rsidR="00984DFF" w:rsidRDefault="00984DFF" w:rsidP="00C07C67">
      <w:r>
        <w:t xml:space="preserve">Servitudes reportées en annexe </w:t>
      </w:r>
      <w:r w:rsidR="00BF5503">
        <w:t>du</w:t>
      </w:r>
      <w:r>
        <w:t xml:space="preserve"> </w:t>
      </w:r>
      <w:proofErr w:type="spellStart"/>
      <w:r>
        <w:t>PLU</w:t>
      </w:r>
      <w:r w:rsidR="00BF5503">
        <w:t>i</w:t>
      </w:r>
      <w:proofErr w:type="spellEnd"/>
      <w:r>
        <w:t xml:space="preserve"> en application des articles R. 151-51 du code de l’urbanisme :</w:t>
      </w:r>
    </w:p>
    <w:p w14:paraId="6EAA2002" w14:textId="77777777" w:rsidR="00984DFF" w:rsidRPr="00C07C67" w:rsidRDefault="00C07C67" w:rsidP="00C07C67">
      <w:pPr>
        <w:pStyle w:val="Titre3"/>
      </w:pPr>
      <w:r w:rsidRPr="00C07C67">
        <w:t xml:space="preserve">I – Servitudes relatives </w:t>
      </w:r>
      <w:r w:rsidR="00C73112">
        <w:t>à la conservation du patrimoine</w:t>
      </w:r>
    </w:p>
    <w:p w14:paraId="0F9AE298" w14:textId="77777777" w:rsidR="00C07C67" w:rsidRPr="00C07C67" w:rsidRDefault="00C73112" w:rsidP="00C07C67">
      <w:pPr>
        <w:pStyle w:val="Titre3"/>
      </w:pPr>
      <w:r>
        <w:t>B</w:t>
      </w:r>
      <w:r w:rsidR="00C07C67" w:rsidRPr="00C07C67">
        <w:t xml:space="preserve"> – </w:t>
      </w:r>
      <w:r>
        <w:t>Patrimoine culturel</w:t>
      </w:r>
    </w:p>
    <w:p w14:paraId="43F38A0E" w14:textId="77777777" w:rsidR="00C07C67" w:rsidRPr="00C07C67" w:rsidRDefault="00822B5F" w:rsidP="00C07C67">
      <w:pPr>
        <w:pStyle w:val="Titre3"/>
      </w:pPr>
      <w:r>
        <w:t>c</w:t>
      </w:r>
      <w:r w:rsidR="00C07C67" w:rsidRPr="00C07C67">
        <w:t>)</w:t>
      </w:r>
      <w:r>
        <w:t xml:space="preserve"> Patrimoine architectural et urbain</w:t>
      </w:r>
    </w:p>
    <w:p w14:paraId="710414B3" w14:textId="77777777" w:rsidR="00C07C67" w:rsidRPr="00C07C67" w:rsidRDefault="00C07C67" w:rsidP="00EE39EC">
      <w:pPr>
        <w:pStyle w:val="Titre4"/>
      </w:pPr>
      <w:r w:rsidRPr="00EE39EC">
        <w:t>Fondements</w:t>
      </w:r>
      <w:r w:rsidRPr="00C07C67">
        <w:t xml:space="preserve"> juridiques</w:t>
      </w:r>
    </w:p>
    <w:p w14:paraId="449AFA28" w14:textId="77777777" w:rsidR="00822B5F" w:rsidRPr="003743D0" w:rsidRDefault="00C07C67" w:rsidP="003743D0">
      <w:pPr>
        <w:pStyle w:val="Titre5"/>
      </w:pPr>
      <w:r w:rsidRPr="00C07C67">
        <w:t>Définition</w:t>
      </w:r>
    </w:p>
    <w:p w14:paraId="087BB65D" w14:textId="77777777" w:rsidR="00822B5F" w:rsidRPr="00822B5F" w:rsidRDefault="00822B5F" w:rsidP="00822B5F">
      <w:r w:rsidRPr="00822B5F">
        <w:t xml:space="preserve">Les sites patrimoniaux remarquables (SPR) ont pour objectif de protéger et mettre en valeur le patrimoine architectural, urbain et paysager de nos territoires. </w:t>
      </w:r>
    </w:p>
    <w:p w14:paraId="0D0FBB7F" w14:textId="77777777" w:rsidR="00822B5F" w:rsidRPr="00822B5F" w:rsidRDefault="00822B5F" w:rsidP="00822B5F">
      <w:r w:rsidRPr="00822B5F">
        <w:t>Sont classés au titre des sites patrimoniaux remarquables « l</w:t>
      </w:r>
      <w:r w:rsidRPr="00822B5F">
        <w:rPr>
          <w:i/>
          <w:iCs/>
        </w:rPr>
        <w:t xml:space="preserve">es villes, villages ou quartiers dont la conservation, la restauration, la réhabilitation ou la mise en valeur présente, au point de vue historique, architectural, archéologique, artistique ou paysager, un intérêt public </w:t>
      </w:r>
      <w:r w:rsidRPr="00822B5F">
        <w:t xml:space="preserve">». Peuvent être classés, au même titre, les espaces ruraux et les paysages qui forment avec ces villes, villages ou quartiers un ensemble cohérent ou qui sont susceptibles de contribuer à leur conservation ou à leur mise en valeur (article L.631-1 du code du patrimoine). </w:t>
      </w:r>
    </w:p>
    <w:p w14:paraId="2F98A2F9" w14:textId="77777777" w:rsidR="00822B5F" w:rsidRPr="00822B5F" w:rsidRDefault="00822B5F" w:rsidP="00822B5F">
      <w:r w:rsidRPr="00822B5F">
        <w:t>Suite</w:t>
      </w:r>
      <w:r>
        <w:t xml:space="preserve"> </w:t>
      </w:r>
      <w:r w:rsidRPr="00822B5F">
        <w:t>à la publication de la loi n°2016-925 du 7 juillet 2016 relative à la liberté de la création, à l'architecture et au patrimoine (LCAP), les secteurs sauvegardés, les aires de mise en valeur de l’architecture et du patrimoine (AVAP) et les zones de protection du patrimoine architectural, urbain et paysager (ZPPAUP) sont devenus de plein droit des sites patrimoniaux remarquables. Leurs règlements applicables avant la date de publication de cette loi continuent à produire leurs effets dans le périmètre du SPR jusqu’à ce que s’y substitue un plan de sauvegarde et de mise en valeur (PSMV) ou un plan de valorisation de l’architecture et du patrimoine (PVAP).</w:t>
      </w:r>
    </w:p>
    <w:p w14:paraId="0DB0E7E7" w14:textId="77777777" w:rsidR="00012831" w:rsidRPr="00012831" w:rsidRDefault="00012831" w:rsidP="00012831">
      <w:pPr>
        <w:sectPr w:rsidR="00012831" w:rsidRPr="00012831">
          <w:headerReference w:type="default" r:id="rId7"/>
          <w:footerReference w:type="default" r:id="rId8"/>
          <w:pgSz w:w="11906" w:h="16838"/>
          <w:pgMar w:top="1417" w:right="1417" w:bottom="1417" w:left="1417" w:header="708" w:footer="708" w:gutter="0"/>
          <w:cols w:space="708"/>
          <w:docGrid w:linePitch="360"/>
        </w:sectPr>
      </w:pPr>
    </w:p>
    <w:p w14:paraId="56BD3A4B" w14:textId="77777777" w:rsidR="004E0F6B" w:rsidRDefault="004E0F6B" w:rsidP="004E0F6B">
      <w:pPr>
        <w:pStyle w:val="Titre5"/>
      </w:pPr>
      <w:r>
        <w:lastRenderedPageBreak/>
        <w:t>Références législatives et réglementaires</w:t>
      </w:r>
    </w:p>
    <w:p w14:paraId="347243FC" w14:textId="77777777" w:rsidR="004E0F6B" w:rsidRDefault="004E0F6B" w:rsidP="004E0F6B">
      <w:pPr>
        <w:pStyle w:val="Titre6"/>
        <w:rPr>
          <w:rFonts w:asciiTheme="minorHAnsi" w:hAnsiTheme="minorHAnsi" w:cstheme="minorHAnsi"/>
        </w:rPr>
      </w:pPr>
      <w:r w:rsidRPr="004E0F6B">
        <w:rPr>
          <w:rFonts w:asciiTheme="minorHAnsi" w:hAnsiTheme="minorHAnsi" w:cstheme="minorHAnsi"/>
        </w:rPr>
        <w:t>Anciens textes :</w:t>
      </w:r>
    </w:p>
    <w:p w14:paraId="1EA6F43D" w14:textId="77777777" w:rsidR="00822B5F" w:rsidRDefault="00822B5F" w:rsidP="00822B5F">
      <w:pPr>
        <w:pStyle w:val="Paragraphedeliste"/>
        <w:numPr>
          <w:ilvl w:val="0"/>
          <w:numId w:val="28"/>
        </w:numPr>
      </w:pPr>
      <w:r w:rsidRPr="00822B5F">
        <w:t>Pour les secteurs sauvegardés : articles L.313-1, R.313-1 et suivants du code de l’urbanisme en vigueur jusqu’à la loi LCAP du 7 juillet 2016 et le décret n°2017-456 du 29 mars 2017 relatif au patrimoine mondial, aux monuments historiques et aux sites patrimoniaux remarquables</w:t>
      </w:r>
      <w:r>
        <w:t> ;</w:t>
      </w:r>
    </w:p>
    <w:p w14:paraId="05F48BE6" w14:textId="77777777" w:rsidR="00822B5F" w:rsidRDefault="00822B5F" w:rsidP="00822B5F">
      <w:pPr>
        <w:pStyle w:val="Paragraphedeliste"/>
        <w:numPr>
          <w:ilvl w:val="0"/>
          <w:numId w:val="28"/>
        </w:numPr>
      </w:pPr>
      <w:r w:rsidRPr="00822B5F">
        <w:t>Pour les AVAP : articles L.642-1, D.642-1 et suivants du code du patrimoine toujours en vigueur pour les AVAP mises à l’étude avant la loi LCAP</w:t>
      </w:r>
      <w:r>
        <w:t> ;</w:t>
      </w:r>
    </w:p>
    <w:p w14:paraId="11A7B1D3" w14:textId="77777777" w:rsidR="00822B5F" w:rsidRPr="00822B5F" w:rsidRDefault="00822B5F" w:rsidP="00822B5F">
      <w:pPr>
        <w:pStyle w:val="Paragraphedeliste"/>
        <w:numPr>
          <w:ilvl w:val="0"/>
          <w:numId w:val="28"/>
        </w:numPr>
      </w:pPr>
      <w:r w:rsidRPr="00822B5F">
        <w:t>Pour les ZPPAUP : article L.642-1 et suivants du code du patrimoine en vigueur jusqu’à la loi n°2010-788 du 12 juillet 2010 portant engagement national pour l'environnement dite « loi Grenelle II ».</w:t>
      </w:r>
    </w:p>
    <w:p w14:paraId="695DB920" w14:textId="77777777" w:rsidR="004E0F6B" w:rsidRDefault="004E0F6B" w:rsidP="004E0F6B">
      <w:pPr>
        <w:pStyle w:val="Titre6"/>
        <w:spacing w:before="240"/>
        <w:rPr>
          <w:rFonts w:asciiTheme="minorHAnsi" w:hAnsiTheme="minorHAnsi" w:cstheme="minorHAnsi"/>
        </w:rPr>
      </w:pPr>
      <w:r w:rsidRPr="004E0F6B">
        <w:rPr>
          <w:rFonts w:asciiTheme="minorHAnsi" w:hAnsiTheme="minorHAnsi" w:cstheme="minorHAnsi"/>
          <w:spacing w:val="2"/>
        </w:rPr>
        <w:t>T</w:t>
      </w:r>
      <w:r w:rsidRPr="004E0F6B">
        <w:rPr>
          <w:rFonts w:asciiTheme="minorHAnsi" w:hAnsiTheme="minorHAnsi" w:cstheme="minorHAnsi"/>
        </w:rPr>
        <w:t xml:space="preserve">extes en </w:t>
      </w:r>
      <w:r w:rsidRPr="004E0F6B">
        <w:rPr>
          <w:rFonts w:asciiTheme="minorHAnsi" w:hAnsiTheme="minorHAnsi" w:cstheme="minorHAnsi"/>
          <w:spacing w:val="1"/>
        </w:rPr>
        <w:t>v</w:t>
      </w:r>
      <w:r w:rsidRPr="004E0F6B">
        <w:rPr>
          <w:rFonts w:asciiTheme="minorHAnsi" w:hAnsiTheme="minorHAnsi" w:cstheme="minorHAnsi"/>
        </w:rPr>
        <w:t>ig</w:t>
      </w:r>
      <w:r w:rsidRPr="004E0F6B">
        <w:rPr>
          <w:rFonts w:asciiTheme="minorHAnsi" w:hAnsiTheme="minorHAnsi" w:cstheme="minorHAnsi"/>
          <w:spacing w:val="1"/>
        </w:rPr>
        <w:t>u</w:t>
      </w:r>
      <w:r w:rsidRPr="004E0F6B">
        <w:rPr>
          <w:rFonts w:asciiTheme="minorHAnsi" w:hAnsiTheme="minorHAnsi" w:cstheme="minorHAnsi"/>
        </w:rPr>
        <w:t>eur :</w:t>
      </w:r>
    </w:p>
    <w:p w14:paraId="4B93F9C9" w14:textId="77777777" w:rsidR="00822B5F" w:rsidRPr="00822B5F" w:rsidRDefault="00822B5F" w:rsidP="00822B5F">
      <w:pPr>
        <w:pStyle w:val="Paragraphedeliste"/>
        <w:numPr>
          <w:ilvl w:val="0"/>
          <w:numId w:val="28"/>
        </w:numPr>
      </w:pPr>
      <w:r w:rsidRPr="00822B5F">
        <w:t xml:space="preserve">Article 112 de la loi n°2016-925 du 7 juillet 2016 relative à la liberté de la création, à l'architecture et au patrimoine (LCAP) </w:t>
      </w:r>
    </w:p>
    <w:p w14:paraId="06E262D9" w14:textId="77777777" w:rsidR="00822B5F" w:rsidRPr="00822B5F" w:rsidRDefault="00822B5F" w:rsidP="00822B5F">
      <w:pPr>
        <w:pStyle w:val="Paragraphedeliste"/>
        <w:numPr>
          <w:ilvl w:val="0"/>
          <w:numId w:val="28"/>
        </w:numPr>
      </w:pPr>
      <w:r w:rsidRPr="00822B5F">
        <w:t>Pour les SPR : articles L.631-1 à L.631-5, R.631-1 et suivants du code du patrimoine ;</w:t>
      </w:r>
    </w:p>
    <w:p w14:paraId="35F6D59B" w14:textId="77777777" w:rsidR="00822B5F" w:rsidRPr="00822B5F" w:rsidRDefault="00822B5F" w:rsidP="00822B5F">
      <w:pPr>
        <w:pStyle w:val="Paragraphedeliste"/>
        <w:numPr>
          <w:ilvl w:val="0"/>
          <w:numId w:val="28"/>
        </w:numPr>
      </w:pPr>
      <w:r w:rsidRPr="00822B5F">
        <w:t xml:space="preserve">Pour les PVAP : articles L631-3 à L631-4, R631-6 à D631-14 du code du patrimoine </w:t>
      </w:r>
    </w:p>
    <w:p w14:paraId="596D6CAE" w14:textId="77777777" w:rsidR="00822B5F" w:rsidRPr="00822B5F" w:rsidRDefault="00822B5F" w:rsidP="00822B5F">
      <w:pPr>
        <w:pStyle w:val="Paragraphedeliste"/>
        <w:numPr>
          <w:ilvl w:val="0"/>
          <w:numId w:val="28"/>
        </w:numPr>
      </w:pPr>
      <w:r w:rsidRPr="00822B5F">
        <w:t>Pour les projets d’AVAP mis à l’étude avant la loi LCAP : articles L.642-1 à L.642-10 du code du patrimoine, dans leur rédaction antérieure à la loi LCAP.</w:t>
      </w:r>
    </w:p>
    <w:p w14:paraId="55EF3317" w14:textId="217FEFF4" w:rsidR="004E0F6B" w:rsidRDefault="00C73112" w:rsidP="004E0F6B">
      <w:pPr>
        <w:pStyle w:val="Titre5"/>
      </w:pPr>
      <w:r>
        <w:t>Décision</w:t>
      </w:r>
    </w:p>
    <w:p w14:paraId="5487D810" w14:textId="77777777" w:rsidR="00325B7F" w:rsidRDefault="00325B7F" w:rsidP="00325B7F">
      <w:pPr>
        <w:pStyle w:val="Titre6"/>
        <w:numPr>
          <w:ilvl w:val="2"/>
          <w:numId w:val="1"/>
        </w:numPr>
        <w:rPr>
          <w:rFonts w:asciiTheme="minorHAnsi" w:hAnsiTheme="minorHAnsi" w:cstheme="minorHAnsi"/>
          <w:sz w:val="28"/>
          <w:szCs w:val="28"/>
        </w:rPr>
      </w:pPr>
      <w:r w:rsidRPr="00012831">
        <w:rPr>
          <w:rFonts w:asciiTheme="minorHAnsi" w:hAnsiTheme="minorHAnsi" w:cstheme="minorHAnsi"/>
          <w:sz w:val="28"/>
          <w:szCs w:val="28"/>
        </w:rPr>
        <w:t xml:space="preserve">Sites </w:t>
      </w:r>
      <w:r>
        <w:rPr>
          <w:rFonts w:asciiTheme="minorHAnsi" w:hAnsiTheme="minorHAnsi" w:cstheme="minorHAnsi"/>
          <w:sz w:val="28"/>
          <w:szCs w:val="28"/>
        </w:rPr>
        <w:t>patrimoniaux remarquables (SUP AC4)</w:t>
      </w:r>
    </w:p>
    <w:p w14:paraId="7A78CE6D" w14:textId="77777777" w:rsidR="00325B7F" w:rsidRPr="00325B7F" w:rsidRDefault="00325B7F" w:rsidP="00325B7F">
      <w:r w:rsidRPr="00325B7F">
        <w:t xml:space="preserve">Les sites patrimoniaux remarquables sont classés par arrêté du ministre chargé de la culture. L’acte classant le SPR en délimite le périmètre. </w:t>
      </w:r>
    </w:p>
    <w:p w14:paraId="07942C07" w14:textId="77777777" w:rsidR="00325B7F" w:rsidRPr="00325B7F" w:rsidRDefault="00325B7F" w:rsidP="00325B7F">
      <w:r w:rsidRPr="00325B7F">
        <w:t xml:space="preserve">L’article 112 de la loi LCAP dispose que les secteurs sauvegardés, ZPPAUP et AVAP créés avant la date de publication de la loi sont devenus de plein droit des sites patrimoniaux remarquables au sens de l’article L.631-1 du code du patrimoine : </w:t>
      </w:r>
    </w:p>
    <w:p w14:paraId="5A69C8E8" w14:textId="77777777" w:rsidR="00325B7F" w:rsidRDefault="00325B7F" w:rsidP="00325B7F">
      <w:pPr>
        <w:pStyle w:val="Paragraphedeliste"/>
        <w:numPr>
          <w:ilvl w:val="0"/>
          <w:numId w:val="29"/>
        </w:numPr>
      </w:pPr>
      <w:r>
        <w:t>L</w:t>
      </w:r>
      <w:r w:rsidRPr="00325B7F">
        <w:t>es sites patrimoniaux remarquables issus des secteurs sauvegardés ont été créés après 2007 par arrêté préfectoral et, antérieurement à 2007, par arrêté interministériel</w:t>
      </w:r>
      <w:r>
        <w:t> ;</w:t>
      </w:r>
      <w:r w:rsidRPr="00325B7F">
        <w:t xml:space="preserve"> </w:t>
      </w:r>
    </w:p>
    <w:p w14:paraId="274D473F" w14:textId="77777777" w:rsidR="00325B7F" w:rsidRPr="00325B7F" w:rsidRDefault="00325B7F" w:rsidP="00325B7F">
      <w:pPr>
        <w:pStyle w:val="Paragraphedeliste"/>
        <w:numPr>
          <w:ilvl w:val="0"/>
          <w:numId w:val="29"/>
        </w:numPr>
      </w:pPr>
      <w:r>
        <w:t>L</w:t>
      </w:r>
      <w:r w:rsidRPr="00325B7F">
        <w:t xml:space="preserve">es sites patrimoniaux remarquables issus des ZPPAUP et AVAP ont été créés par délibération de l’autorité compétente en matière de PLU ou de document en tenant lieu. </w:t>
      </w:r>
    </w:p>
    <w:p w14:paraId="5AB302FE" w14:textId="77777777" w:rsidR="00325B7F" w:rsidRPr="00325B7F" w:rsidRDefault="00325B7F" w:rsidP="00325B7F">
      <w:r w:rsidRPr="00325B7F">
        <w:t xml:space="preserve">Les projets d’AVAP mis à l’étude avant la publication de la loi LCAP sont instruits puis approuvés </w:t>
      </w:r>
      <w:proofErr w:type="gramStart"/>
      <w:r w:rsidRPr="00325B7F">
        <w:t>conformément</w:t>
      </w:r>
      <w:proofErr w:type="gramEnd"/>
      <w:r w:rsidRPr="00325B7F">
        <w:t xml:space="preserve"> aux articles L.642-1 à L.642-10 du code du patrimoine, dans leur rédaction antérieure à la loi LCAP (création par délibération de l’autorité compétente en matière de PLU ou de document en tenant lieu).</w:t>
      </w:r>
    </w:p>
    <w:p w14:paraId="6C6DA58A" w14:textId="004197F4" w:rsidR="00325B7F" w:rsidRDefault="00325B7F" w:rsidP="00CD47FC">
      <w:pPr>
        <w:pStyle w:val="Titre6"/>
        <w:numPr>
          <w:ilvl w:val="2"/>
          <w:numId w:val="1"/>
        </w:numPr>
        <w:spacing w:before="240"/>
        <w:ind w:left="1077"/>
        <w:rPr>
          <w:rFonts w:asciiTheme="minorHAnsi" w:hAnsiTheme="minorHAnsi" w:cstheme="minorHAnsi"/>
          <w:sz w:val="28"/>
          <w:szCs w:val="28"/>
        </w:rPr>
      </w:pPr>
      <w:bookmarkStart w:id="0" w:name="_Hlk108528697"/>
      <w:r>
        <w:rPr>
          <w:rFonts w:asciiTheme="minorHAnsi" w:hAnsiTheme="minorHAnsi" w:cstheme="minorHAnsi"/>
          <w:sz w:val="28"/>
          <w:szCs w:val="28"/>
        </w:rPr>
        <w:t>Plan de valorisation de l’architecture et du patrimoine (SUP</w:t>
      </w:r>
      <w:r w:rsidR="00DF1FBD">
        <w:rPr>
          <w:rFonts w:asciiTheme="minorHAnsi" w:hAnsiTheme="minorHAnsi" w:cstheme="minorHAnsi"/>
          <w:sz w:val="28"/>
          <w:szCs w:val="28"/>
        </w:rPr>
        <w:t xml:space="preserve"> AC</w:t>
      </w:r>
      <w:r>
        <w:rPr>
          <w:rFonts w:asciiTheme="minorHAnsi" w:hAnsiTheme="minorHAnsi" w:cstheme="minorHAnsi"/>
          <w:sz w:val="28"/>
          <w:szCs w:val="28"/>
        </w:rPr>
        <w:t>4bis)</w:t>
      </w:r>
    </w:p>
    <w:bookmarkEnd w:id="0"/>
    <w:p w14:paraId="45748F4D" w14:textId="77777777" w:rsidR="00325B7F" w:rsidRDefault="00325B7F" w:rsidP="00325B7F">
      <w:r>
        <w:t>Sur les parties du SPR non couvertes par un plan de sauvegarde et de mise en valeur doit s’appliquer un plan de valorisation de l’architecture et du patrimoine (PVAP) qui a le caractère d’une servitude d’utilité publique. Le PVAP est adopté par délibération de l’autorité compétente en matière de plan local d’urbanisme (PLU) ou de document en tenant lieu ou de carte communale après accord du préfet de région.</w:t>
      </w:r>
    </w:p>
    <w:p w14:paraId="23AA53AB" w14:textId="77777777" w:rsidR="00325B7F" w:rsidRPr="00DF1FBD" w:rsidRDefault="00325B7F" w:rsidP="003B3E82">
      <w:pPr>
        <w:pStyle w:val="Titre6"/>
        <w:numPr>
          <w:ilvl w:val="2"/>
          <w:numId w:val="1"/>
        </w:numPr>
        <w:spacing w:before="240"/>
        <w:ind w:left="1077"/>
        <w:rPr>
          <w:rFonts w:ascii="Calibri" w:hAnsi="Calibri" w:cs="Calibri"/>
          <w:sz w:val="28"/>
          <w:szCs w:val="28"/>
        </w:rPr>
      </w:pPr>
      <w:r w:rsidRPr="00DF1FBD">
        <w:rPr>
          <w:rFonts w:ascii="Calibri" w:hAnsi="Calibri" w:cs="Calibri"/>
          <w:sz w:val="28"/>
          <w:szCs w:val="28"/>
        </w:rPr>
        <w:lastRenderedPageBreak/>
        <w:t>Superposition des sites patrimoniaux remarquables avec une autre servitude d’utilité publique</w:t>
      </w:r>
    </w:p>
    <w:p w14:paraId="585880AA" w14:textId="77777777" w:rsidR="00DF1FBD" w:rsidRPr="00DF1FBD" w:rsidRDefault="00DF1FBD" w:rsidP="00DF1FBD">
      <w:pPr>
        <w:rPr>
          <w:u w:val="single"/>
        </w:rPr>
      </w:pPr>
      <w:r w:rsidRPr="00DF1FBD">
        <w:rPr>
          <w:u w:val="single"/>
        </w:rPr>
        <w:t xml:space="preserve">Site patrimonial remarquable et abords de monuments historiques </w:t>
      </w:r>
    </w:p>
    <w:p w14:paraId="564CE6C7" w14:textId="77777777" w:rsidR="00DF1FBD" w:rsidRPr="00DF1FBD" w:rsidRDefault="00DF1FBD" w:rsidP="00DF1FBD">
      <w:r w:rsidRPr="00DF1FBD">
        <w:t xml:space="preserve">La protection au titre des abords n'est pas applicable aux immeubles ou parties d'immeubles situés dans le périmètre d'un site patrimonial remarquable (article L.621-30 du code du patrimoine). </w:t>
      </w:r>
    </w:p>
    <w:p w14:paraId="5F3E4525" w14:textId="77777777" w:rsidR="00DF1FBD" w:rsidRPr="00DF1FBD" w:rsidRDefault="00DF1FBD" w:rsidP="00DF1FBD">
      <w:pPr>
        <w:rPr>
          <w:u w:val="single"/>
        </w:rPr>
      </w:pPr>
      <w:r w:rsidRPr="00DF1FBD">
        <w:rPr>
          <w:u w:val="single"/>
        </w:rPr>
        <w:t xml:space="preserve">Site patrimonial remarquable et site inscrit </w:t>
      </w:r>
    </w:p>
    <w:p w14:paraId="72EF8902" w14:textId="77777777" w:rsidR="00DF1FBD" w:rsidRPr="00DF1FBD" w:rsidRDefault="00DF1FBD" w:rsidP="00DF1FBD">
      <w:r w:rsidRPr="00DF1FBD">
        <w:t xml:space="preserve">Le site inscrit relevant du code de l'environnement n’est pas applicable aux immeubles situés dans le périmètre d'un site patrimonial remarquable (article L.632-3 du code du patrimoine et article L.341-1-1 du code de l’environnement). </w:t>
      </w:r>
    </w:p>
    <w:p w14:paraId="6A68197F" w14:textId="77777777" w:rsidR="00DF1FBD" w:rsidRPr="00DF1FBD" w:rsidRDefault="00DF1FBD" w:rsidP="00DF1FBD">
      <w:pPr>
        <w:rPr>
          <w:u w:val="single"/>
        </w:rPr>
      </w:pPr>
      <w:r w:rsidRPr="00DF1FBD">
        <w:rPr>
          <w:u w:val="single"/>
        </w:rPr>
        <w:t xml:space="preserve">Site patrimonial remarquable et site classé </w:t>
      </w:r>
    </w:p>
    <w:p w14:paraId="39EE75FF" w14:textId="6F6F1094" w:rsidR="007448B0" w:rsidRDefault="00DF1FBD" w:rsidP="00DF1FBD">
      <w:r w:rsidRPr="00DF1FBD">
        <w:t>Les deux servitudes d’utilité publique s’appliquent.</w:t>
      </w:r>
    </w:p>
    <w:p w14:paraId="12DBECAA" w14:textId="11C6B62D" w:rsidR="007448B0" w:rsidRDefault="007448B0" w:rsidP="004D10AB">
      <w:pPr>
        <w:jc w:val="center"/>
      </w:pPr>
      <w:r>
        <w:rPr>
          <w:noProof/>
          <w:lang w:eastAsia="fr-FR"/>
        </w:rPr>
        <w:drawing>
          <wp:inline distT="0" distB="0" distL="0" distR="0" wp14:anchorId="413DFD9D" wp14:editId="1D477F1C">
            <wp:extent cx="5712833" cy="2918129"/>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4 schema.PNG"/>
                    <pic:cNvPicPr/>
                  </pic:nvPicPr>
                  <pic:blipFill>
                    <a:blip r:embed="rId9">
                      <a:extLst>
                        <a:ext uri="{28A0092B-C50C-407E-A947-70E740481C1C}">
                          <a14:useLocalDpi xmlns:a14="http://schemas.microsoft.com/office/drawing/2010/main" val="0"/>
                        </a:ext>
                      </a:extLst>
                    </a:blip>
                    <a:stretch>
                      <a:fillRect/>
                    </a:stretch>
                  </pic:blipFill>
                  <pic:spPr>
                    <a:xfrm>
                      <a:off x="0" y="0"/>
                      <a:ext cx="5809652" cy="2967584"/>
                    </a:xfrm>
                    <a:prstGeom prst="rect">
                      <a:avLst/>
                    </a:prstGeom>
                  </pic:spPr>
                </pic:pic>
              </a:graphicData>
            </a:graphic>
          </wp:inline>
        </w:drawing>
      </w:r>
    </w:p>
    <w:p w14:paraId="0F478BA1" w14:textId="626FDD82" w:rsidR="007448B0" w:rsidRPr="007448B0" w:rsidRDefault="007448B0" w:rsidP="00CD47FC">
      <w:pPr>
        <w:rPr>
          <w:i/>
          <w:iCs/>
        </w:rPr>
      </w:pPr>
      <w:r w:rsidRPr="007448B0">
        <w:rPr>
          <w:i/>
          <w:iCs/>
        </w:rPr>
        <w:t>Schéma représentant les trois cas possibles d’articulation entre SUP AC4, AC4bis et PSMV</w:t>
      </w:r>
    </w:p>
    <w:p w14:paraId="3F211DB3" w14:textId="440651F6" w:rsidR="004E0F6B" w:rsidRDefault="00A3167A" w:rsidP="004E0F6B">
      <w:pPr>
        <w:pStyle w:val="Titre5"/>
      </w:pPr>
      <w:r>
        <w:t>Restrictions de diffusion</w:t>
      </w:r>
    </w:p>
    <w:p w14:paraId="747D29BA" w14:textId="77777777" w:rsidR="0060464C" w:rsidRDefault="00C73112" w:rsidP="004E0F6B">
      <w:r>
        <w:t xml:space="preserve">Aucune restriction Défense pour cette catégorie de servitude. </w:t>
      </w:r>
    </w:p>
    <w:p w14:paraId="00B6AC46" w14:textId="434F0A02" w:rsidR="00C73112" w:rsidRDefault="00C73112" w:rsidP="004E0F6B">
      <w:r>
        <w:t xml:space="preserve">La SUP peut être diffusée, visible et téléchargeable dans la totalité de </w:t>
      </w:r>
      <w:r w:rsidR="004712BA">
        <w:t>s</w:t>
      </w:r>
      <w:r>
        <w:t>es détails</w:t>
      </w:r>
    </w:p>
    <w:p w14:paraId="5F1C1633" w14:textId="77777777" w:rsidR="00BD541E" w:rsidRDefault="00BD541E" w:rsidP="00BD541E">
      <w:pPr>
        <w:pStyle w:val="Titre5"/>
      </w:pPr>
      <w:r>
        <w:t>Générateurs et assiettes</w:t>
      </w:r>
    </w:p>
    <w:p w14:paraId="538C7F23" w14:textId="77777777" w:rsidR="00BD541E" w:rsidRPr="007F674A" w:rsidRDefault="00BD541E" w:rsidP="00BD541E">
      <w:pPr>
        <w:pStyle w:val="Titre6"/>
        <w:rPr>
          <w:rFonts w:asciiTheme="minorHAnsi" w:hAnsiTheme="minorHAnsi" w:cstheme="minorHAnsi"/>
        </w:rPr>
      </w:pPr>
      <w:r w:rsidRPr="007F674A">
        <w:rPr>
          <w:rFonts w:asciiTheme="minorHAnsi" w:hAnsiTheme="minorHAnsi" w:cstheme="minorHAnsi"/>
        </w:rPr>
        <w:t>Les générateurs</w:t>
      </w:r>
    </w:p>
    <w:p w14:paraId="0FCEF8E4" w14:textId="77777777" w:rsidR="00BD541E" w:rsidRPr="000B0B3C" w:rsidRDefault="00BD541E" w:rsidP="00BD541E">
      <w:pPr>
        <w:pStyle w:val="Paragraphedeliste"/>
        <w:numPr>
          <w:ilvl w:val="0"/>
          <w:numId w:val="43"/>
        </w:numPr>
        <w:rPr>
          <w:u w:val="single"/>
        </w:rPr>
      </w:pPr>
      <w:r w:rsidRPr="000B0B3C">
        <w:rPr>
          <w:u w:val="single"/>
        </w:rPr>
        <w:t>SUP AC4 – Site patrimonial remarquable (SPR)</w:t>
      </w:r>
    </w:p>
    <w:p w14:paraId="122F0CC9" w14:textId="19A2B7D3" w:rsidR="00BD541E" w:rsidRDefault="00BD541E" w:rsidP="00BD541E">
      <w:r>
        <w:t>Le périmètre annexé à l’arrêté ministériel classant le site patrimonial remarquable.</w:t>
      </w:r>
    </w:p>
    <w:p w14:paraId="1272CD22" w14:textId="77777777" w:rsidR="00BD541E" w:rsidRDefault="00BD541E">
      <w:pPr>
        <w:jc w:val="left"/>
      </w:pPr>
      <w:r>
        <w:br w:type="page"/>
      </w:r>
    </w:p>
    <w:p w14:paraId="320A3936" w14:textId="77777777" w:rsidR="00BD541E" w:rsidRPr="000B0B3C" w:rsidRDefault="00BD541E" w:rsidP="00BD541E">
      <w:pPr>
        <w:pStyle w:val="Paragraphedeliste"/>
        <w:numPr>
          <w:ilvl w:val="0"/>
          <w:numId w:val="43"/>
        </w:numPr>
        <w:spacing w:before="360"/>
        <w:rPr>
          <w:u w:val="single"/>
        </w:rPr>
      </w:pPr>
      <w:r w:rsidRPr="000B0B3C">
        <w:rPr>
          <w:u w:val="single"/>
        </w:rPr>
        <w:lastRenderedPageBreak/>
        <w:t>SUP AC4 – Règlements d’AVAP ou de ZPPAUP</w:t>
      </w:r>
    </w:p>
    <w:p w14:paraId="4D419D51" w14:textId="77777777" w:rsidR="00BD541E" w:rsidRDefault="00BD541E" w:rsidP="00BD541E">
      <w:r>
        <w:t>Le périmètre apparaissant dans le document graphique du dossier d’AVAP ou de ZPPAUP.</w:t>
      </w:r>
    </w:p>
    <w:p w14:paraId="693CF7F4" w14:textId="77777777" w:rsidR="00BD541E" w:rsidRPr="000B0B3C" w:rsidRDefault="00BD541E" w:rsidP="00BD541E">
      <w:pPr>
        <w:pStyle w:val="Paragraphedeliste"/>
        <w:numPr>
          <w:ilvl w:val="0"/>
          <w:numId w:val="43"/>
        </w:numPr>
        <w:spacing w:before="360"/>
        <w:rPr>
          <w:u w:val="single"/>
        </w:rPr>
      </w:pPr>
      <w:r w:rsidRPr="000B0B3C">
        <w:rPr>
          <w:u w:val="single"/>
        </w:rPr>
        <w:t>SUP AC4bis – Plan de valorisation de l’architecture et du patrimoine (PVAP)</w:t>
      </w:r>
    </w:p>
    <w:p w14:paraId="63012913" w14:textId="77777777" w:rsidR="00BD541E" w:rsidRDefault="00BD541E" w:rsidP="00BD541E">
      <w:r>
        <w:t>Le périmètre apparaissant dans le document graphique du PVAP ce qui correspond au SPR entier si le document de gestion couvre l’intégralité du SPR. Comme le montre le schéma ci-dessus, un PVAP ne couvre pas toujours l’intégralité du SPR.</w:t>
      </w:r>
    </w:p>
    <w:p w14:paraId="3742E6A2" w14:textId="77777777" w:rsidR="00BD541E" w:rsidRPr="007F674A" w:rsidRDefault="00BD541E" w:rsidP="00BD541E">
      <w:pPr>
        <w:pStyle w:val="Titre6"/>
        <w:rPr>
          <w:rFonts w:asciiTheme="minorHAnsi" w:hAnsiTheme="minorHAnsi" w:cstheme="minorHAnsi"/>
        </w:rPr>
      </w:pPr>
      <w:r w:rsidRPr="007F674A">
        <w:rPr>
          <w:rFonts w:asciiTheme="minorHAnsi" w:hAnsiTheme="minorHAnsi" w:cstheme="minorHAnsi"/>
        </w:rPr>
        <w:t>Les assiettes</w:t>
      </w:r>
    </w:p>
    <w:p w14:paraId="2ADD8548" w14:textId="77777777" w:rsidR="00BD541E" w:rsidRPr="000B0B3C" w:rsidRDefault="00BD541E" w:rsidP="00BD541E">
      <w:pPr>
        <w:pStyle w:val="Paragraphedeliste"/>
        <w:numPr>
          <w:ilvl w:val="0"/>
          <w:numId w:val="44"/>
        </w:numPr>
        <w:rPr>
          <w:u w:val="single"/>
        </w:rPr>
      </w:pPr>
      <w:r w:rsidRPr="000B0B3C">
        <w:rPr>
          <w:u w:val="single"/>
        </w:rPr>
        <w:t>SUP AC4 – Site patrimonial remarquable (SPR)</w:t>
      </w:r>
    </w:p>
    <w:p w14:paraId="0F4ED7ED" w14:textId="77777777" w:rsidR="00BD541E" w:rsidRDefault="00BD541E" w:rsidP="00BD541E">
      <w:r>
        <w:t>L’assiette est égale au générateur.</w:t>
      </w:r>
    </w:p>
    <w:p w14:paraId="5EBE5E7C" w14:textId="77777777" w:rsidR="00BD541E" w:rsidRPr="000B0B3C" w:rsidRDefault="00BD541E" w:rsidP="00BD541E">
      <w:pPr>
        <w:pStyle w:val="Paragraphedeliste"/>
        <w:numPr>
          <w:ilvl w:val="0"/>
          <w:numId w:val="44"/>
        </w:numPr>
        <w:spacing w:before="360"/>
        <w:rPr>
          <w:u w:val="single"/>
        </w:rPr>
      </w:pPr>
      <w:r w:rsidRPr="000B0B3C">
        <w:rPr>
          <w:u w:val="single"/>
        </w:rPr>
        <w:t>SUP AC4 – Règlements d’AVAP ou de ZPPAUP</w:t>
      </w:r>
    </w:p>
    <w:p w14:paraId="483BAE83" w14:textId="77777777" w:rsidR="00BD541E" w:rsidRDefault="00BD541E" w:rsidP="00BD541E">
      <w:r>
        <w:t>L’assiette est égale au générateur.</w:t>
      </w:r>
    </w:p>
    <w:p w14:paraId="34A2ADE9" w14:textId="77777777" w:rsidR="00BD541E" w:rsidRPr="000B0B3C" w:rsidRDefault="00BD541E" w:rsidP="00BD541E">
      <w:pPr>
        <w:pStyle w:val="Paragraphedeliste"/>
        <w:numPr>
          <w:ilvl w:val="0"/>
          <w:numId w:val="44"/>
        </w:numPr>
        <w:spacing w:before="360"/>
        <w:rPr>
          <w:u w:val="single"/>
        </w:rPr>
      </w:pPr>
      <w:r w:rsidRPr="000B0B3C">
        <w:rPr>
          <w:u w:val="single"/>
        </w:rPr>
        <w:t>SUP AC4bis – Plan de valorisation de l’architecture et du patrimoine (PVAP)</w:t>
      </w:r>
    </w:p>
    <w:p w14:paraId="5FF680B6" w14:textId="77777777" w:rsidR="00BD541E" w:rsidRDefault="00BD541E" w:rsidP="00BD541E">
      <w:r>
        <w:t xml:space="preserve">L’assiette est égale au générateur. </w:t>
      </w:r>
    </w:p>
    <w:p w14:paraId="7AFBBBE3" w14:textId="5D6A0E4E" w:rsidR="004E0F6B" w:rsidRPr="00C07C67" w:rsidRDefault="00EE39EC" w:rsidP="00EE39EC">
      <w:pPr>
        <w:pStyle w:val="Titre4"/>
      </w:pPr>
      <w:r>
        <w:t>Référent métier</w:t>
      </w:r>
      <w:r w:rsidR="003B3E82">
        <w:t>/S</w:t>
      </w:r>
      <w:r w:rsidR="00A3167A" w:rsidRPr="00F96590">
        <w:t>ervice gestionnaire</w:t>
      </w:r>
    </w:p>
    <w:p w14:paraId="2663F817" w14:textId="77777777" w:rsidR="00DF1FBD" w:rsidRPr="00DF1FBD" w:rsidRDefault="00DF1FBD" w:rsidP="00DF1FBD">
      <w:pPr>
        <w:pStyle w:val="Default"/>
        <w:rPr>
          <w:rFonts w:asciiTheme="minorHAnsi" w:hAnsiTheme="minorHAnsi" w:cstheme="minorHAnsi"/>
          <w:sz w:val="22"/>
          <w:szCs w:val="22"/>
        </w:rPr>
      </w:pPr>
      <w:r w:rsidRPr="00DF1FBD">
        <w:rPr>
          <w:rFonts w:asciiTheme="minorHAnsi" w:hAnsiTheme="minorHAnsi" w:cstheme="minorHAnsi"/>
          <w:sz w:val="22"/>
          <w:szCs w:val="22"/>
        </w:rPr>
        <w:t xml:space="preserve">Ministère de la Culture </w:t>
      </w:r>
    </w:p>
    <w:p w14:paraId="64315CB3" w14:textId="77777777" w:rsidR="00DF1FBD" w:rsidRPr="00DF1FBD" w:rsidRDefault="00DF1FBD" w:rsidP="00DF1FBD">
      <w:pPr>
        <w:pStyle w:val="Default"/>
        <w:rPr>
          <w:rFonts w:asciiTheme="minorHAnsi" w:hAnsiTheme="minorHAnsi" w:cstheme="minorHAnsi"/>
          <w:sz w:val="22"/>
          <w:szCs w:val="22"/>
        </w:rPr>
      </w:pPr>
      <w:r w:rsidRPr="00DF1FBD">
        <w:rPr>
          <w:rFonts w:asciiTheme="minorHAnsi" w:hAnsiTheme="minorHAnsi" w:cstheme="minorHAnsi"/>
          <w:sz w:val="22"/>
          <w:szCs w:val="22"/>
        </w:rPr>
        <w:t xml:space="preserve">Direction générale des patrimoines </w:t>
      </w:r>
    </w:p>
    <w:p w14:paraId="54BE30C4" w14:textId="77777777" w:rsidR="00DF1FBD" w:rsidRPr="00DF1FBD" w:rsidRDefault="00DF1FBD" w:rsidP="00DF1FBD">
      <w:pPr>
        <w:pStyle w:val="Default"/>
        <w:rPr>
          <w:rFonts w:asciiTheme="minorHAnsi" w:hAnsiTheme="minorHAnsi" w:cstheme="minorHAnsi"/>
          <w:sz w:val="22"/>
          <w:szCs w:val="22"/>
        </w:rPr>
      </w:pPr>
      <w:r w:rsidRPr="00DF1FBD">
        <w:rPr>
          <w:rFonts w:asciiTheme="minorHAnsi" w:hAnsiTheme="minorHAnsi" w:cstheme="minorHAnsi"/>
          <w:sz w:val="22"/>
          <w:szCs w:val="22"/>
        </w:rPr>
        <w:t xml:space="preserve">Service patrimoine </w:t>
      </w:r>
    </w:p>
    <w:p w14:paraId="1F61C511" w14:textId="77777777" w:rsidR="00DF1FBD" w:rsidRPr="00DF1FBD" w:rsidRDefault="00DF1FBD" w:rsidP="00DF1FBD">
      <w:pPr>
        <w:pStyle w:val="Default"/>
        <w:rPr>
          <w:rFonts w:asciiTheme="minorHAnsi" w:hAnsiTheme="minorHAnsi" w:cstheme="minorHAnsi"/>
          <w:sz w:val="22"/>
          <w:szCs w:val="22"/>
        </w:rPr>
      </w:pPr>
      <w:r w:rsidRPr="00DF1FBD">
        <w:rPr>
          <w:rFonts w:asciiTheme="minorHAnsi" w:hAnsiTheme="minorHAnsi" w:cstheme="minorHAnsi"/>
          <w:sz w:val="22"/>
          <w:szCs w:val="22"/>
        </w:rPr>
        <w:t xml:space="preserve">Sous-direction des monuments historiques et des espaces protégés </w:t>
      </w:r>
    </w:p>
    <w:p w14:paraId="04D1EC4E" w14:textId="77777777" w:rsidR="00DF1FBD" w:rsidRPr="00DF1FBD" w:rsidRDefault="00DF1FBD" w:rsidP="00DF1FBD">
      <w:pPr>
        <w:pStyle w:val="Default"/>
        <w:rPr>
          <w:rFonts w:asciiTheme="minorHAnsi" w:hAnsiTheme="minorHAnsi" w:cstheme="minorHAnsi"/>
          <w:sz w:val="22"/>
          <w:szCs w:val="22"/>
        </w:rPr>
      </w:pPr>
      <w:r w:rsidRPr="00DF1FBD">
        <w:rPr>
          <w:rFonts w:asciiTheme="minorHAnsi" w:hAnsiTheme="minorHAnsi" w:cstheme="minorHAnsi"/>
          <w:sz w:val="22"/>
          <w:szCs w:val="22"/>
        </w:rPr>
        <w:t xml:space="preserve">Bureau de la protection et de la gestion des espaces </w:t>
      </w:r>
    </w:p>
    <w:p w14:paraId="59B8E5FB" w14:textId="77777777" w:rsidR="004D10AB" w:rsidRDefault="00DF1FBD" w:rsidP="004D10AB">
      <w:pPr>
        <w:spacing w:after="0"/>
        <w:rPr>
          <w:rFonts w:cstheme="minorHAnsi"/>
        </w:rPr>
      </w:pPr>
      <w:r w:rsidRPr="00DF1FBD">
        <w:rPr>
          <w:rFonts w:cstheme="minorHAnsi"/>
        </w:rPr>
        <w:t>182 rue Saint-Honoré</w:t>
      </w:r>
    </w:p>
    <w:p w14:paraId="2E510D4E" w14:textId="35856678" w:rsidR="003B3E82" w:rsidRDefault="00DF1FBD" w:rsidP="00DF1FBD">
      <w:pPr>
        <w:rPr>
          <w:sz w:val="20"/>
          <w:szCs w:val="20"/>
        </w:rPr>
      </w:pPr>
      <w:r w:rsidRPr="00DF1FBD">
        <w:rPr>
          <w:rFonts w:cstheme="minorHAnsi"/>
        </w:rPr>
        <w:t>75033 Paris cedex 1</w:t>
      </w:r>
      <w:r>
        <w:rPr>
          <w:sz w:val="20"/>
          <w:szCs w:val="20"/>
        </w:rPr>
        <w:t xml:space="preserve"> </w:t>
      </w:r>
    </w:p>
    <w:p w14:paraId="2E154DAD" w14:textId="77777777" w:rsidR="004D10AB" w:rsidRPr="00C5008D" w:rsidRDefault="004D10AB" w:rsidP="004D10AB">
      <w:pPr>
        <w:spacing w:after="0"/>
      </w:pPr>
      <w:r w:rsidRPr="00C5008D">
        <w:t>Direction Régionale des Affaires Culturelles (DRAC 34)</w:t>
      </w:r>
    </w:p>
    <w:p w14:paraId="0251AE3C" w14:textId="77777777" w:rsidR="004D10AB" w:rsidRPr="00C5008D" w:rsidRDefault="004D10AB" w:rsidP="004D10AB">
      <w:pPr>
        <w:spacing w:after="0"/>
      </w:pPr>
      <w:r w:rsidRPr="00C5008D">
        <w:t>Service Territoriale de l’Architecture et du Patrimoine (STAP)</w:t>
      </w:r>
    </w:p>
    <w:p w14:paraId="1295D2BF" w14:textId="77777777" w:rsidR="004D10AB" w:rsidRPr="00C5008D" w:rsidRDefault="004D10AB" w:rsidP="004D10AB">
      <w:pPr>
        <w:spacing w:after="0"/>
      </w:pPr>
      <w:r w:rsidRPr="00C5008D">
        <w:t>5 Rue de Salle l’Evêque</w:t>
      </w:r>
    </w:p>
    <w:p w14:paraId="18C29D8B" w14:textId="77777777" w:rsidR="004D10AB" w:rsidRPr="00C5008D" w:rsidRDefault="004D10AB" w:rsidP="004D10AB">
      <w:pPr>
        <w:spacing w:after="0"/>
      </w:pPr>
      <w:r w:rsidRPr="00C5008D">
        <w:t xml:space="preserve">34000 Montpellier </w:t>
      </w:r>
    </w:p>
    <w:p w14:paraId="1EA930B1" w14:textId="77777777" w:rsidR="003B3E82" w:rsidRDefault="003B3E82">
      <w:pPr>
        <w:jc w:val="left"/>
        <w:rPr>
          <w:sz w:val="20"/>
          <w:szCs w:val="20"/>
          <w:highlight w:val="yellow"/>
        </w:rPr>
      </w:pPr>
      <w:r>
        <w:rPr>
          <w:sz w:val="20"/>
          <w:szCs w:val="20"/>
          <w:highlight w:val="yellow"/>
        </w:rPr>
        <w:br w:type="page"/>
      </w:r>
    </w:p>
    <w:p w14:paraId="5BBDBF48" w14:textId="77777777" w:rsidR="003B3E82" w:rsidRDefault="003B3E82" w:rsidP="003B3E82">
      <w:pPr>
        <w:pStyle w:val="Titre2"/>
      </w:pPr>
      <w:r>
        <w:rPr>
          <w:spacing w:val="-5"/>
        </w:rPr>
        <w:lastRenderedPageBreak/>
        <w:t>A</w:t>
      </w:r>
      <w:r>
        <w:t>n</w:t>
      </w:r>
      <w:r>
        <w:rPr>
          <w:spacing w:val="2"/>
        </w:rPr>
        <w:t>n</w:t>
      </w:r>
      <w:r>
        <w:t>e</w:t>
      </w:r>
      <w:r>
        <w:rPr>
          <w:spacing w:val="1"/>
        </w:rPr>
        <w:t>x</w:t>
      </w:r>
      <w:r>
        <w:t>e</w:t>
      </w:r>
    </w:p>
    <w:p w14:paraId="1960123D" w14:textId="77777777" w:rsidR="003B3E82" w:rsidRDefault="003B3E82" w:rsidP="003B3E82">
      <w:pPr>
        <w:pStyle w:val="Titre5"/>
        <w:numPr>
          <w:ilvl w:val="0"/>
          <w:numId w:val="0"/>
        </w:numPr>
        <w:jc w:val="center"/>
      </w:pPr>
      <w:r>
        <w:t>Procédure d’instauration, de modification et de suppression de la servitude d’utilité publique</w:t>
      </w:r>
    </w:p>
    <w:p w14:paraId="15A862EA" w14:textId="77777777" w:rsidR="003B3E82" w:rsidRPr="00895474" w:rsidRDefault="003B3E82" w:rsidP="003B3E82">
      <w:pPr>
        <w:pStyle w:val="Titre4"/>
        <w:numPr>
          <w:ilvl w:val="0"/>
          <w:numId w:val="41"/>
        </w:numPr>
        <w:rPr>
          <w:sz w:val="28"/>
          <w:szCs w:val="28"/>
        </w:rPr>
      </w:pPr>
      <w:r w:rsidRPr="00895474">
        <w:rPr>
          <w:sz w:val="28"/>
          <w:szCs w:val="28"/>
        </w:rPr>
        <w:t>Le classement au titre des sites patrimoniaux remarquables</w:t>
      </w:r>
    </w:p>
    <w:p w14:paraId="77E759AF" w14:textId="77777777" w:rsidR="003B3E82" w:rsidRPr="00536253" w:rsidRDefault="003B3E82" w:rsidP="003B3E82">
      <w:pPr>
        <w:rPr>
          <w:b/>
          <w:bCs/>
        </w:rPr>
      </w:pPr>
      <w:r w:rsidRPr="00536253">
        <w:rPr>
          <w:b/>
          <w:bCs/>
        </w:rPr>
        <w:t xml:space="preserve">Procédure de classement au titre des sites patrimoniaux remarquables </w:t>
      </w:r>
    </w:p>
    <w:p w14:paraId="01689500" w14:textId="77777777" w:rsidR="003B3E82" w:rsidRDefault="003B3E82" w:rsidP="003B3E82">
      <w:pPr>
        <w:pStyle w:val="Paragraphedeliste"/>
        <w:numPr>
          <w:ilvl w:val="0"/>
          <w:numId w:val="40"/>
        </w:numPr>
      </w:pPr>
      <w:r>
        <w:t xml:space="preserve">Proposition d’un projet de classement par l’autorité compétente en matière de PLU, de document en tenant lieu ou de carte communale ou après son accord lorsque cette dernière n’est pas à l’initiative de la proposition ; </w:t>
      </w:r>
    </w:p>
    <w:p w14:paraId="2428CF62" w14:textId="77777777" w:rsidR="003B3E82" w:rsidRDefault="003B3E82" w:rsidP="003B3E82">
      <w:pPr>
        <w:pStyle w:val="Paragraphedeliste"/>
        <w:numPr>
          <w:ilvl w:val="0"/>
          <w:numId w:val="40"/>
        </w:numPr>
      </w:pPr>
      <w:r>
        <w:t xml:space="preserve">Consultation de la ou des communes concernées par le projet de classement pour avis ; </w:t>
      </w:r>
    </w:p>
    <w:p w14:paraId="4CA8A6C9" w14:textId="77777777" w:rsidR="003B3E82" w:rsidRDefault="003B3E82" w:rsidP="003B3E82">
      <w:pPr>
        <w:pStyle w:val="Paragraphedeliste"/>
        <w:numPr>
          <w:ilvl w:val="0"/>
          <w:numId w:val="40"/>
        </w:numPr>
      </w:pPr>
      <w:r>
        <w:t xml:space="preserve">Accord de l’autorité compétente en matière de PLU, de document en tenant lieu ou de carte communale (la délibération doit porter sur le projet de périmètre du site patrimonial remarquable dont le report graphique est annexé à la délibération) ; </w:t>
      </w:r>
    </w:p>
    <w:p w14:paraId="7D135D99" w14:textId="77777777" w:rsidR="003B3E82" w:rsidRDefault="003B3E82" w:rsidP="003B3E82">
      <w:pPr>
        <w:pStyle w:val="Paragraphedeliste"/>
        <w:numPr>
          <w:ilvl w:val="0"/>
          <w:numId w:val="40"/>
        </w:numPr>
      </w:pPr>
      <w:r>
        <w:t xml:space="preserve">Saisine du ministre chargé de la culture par le préfet de région ; </w:t>
      </w:r>
    </w:p>
    <w:p w14:paraId="6AFAA061" w14:textId="77777777" w:rsidR="003B3E82" w:rsidRDefault="003B3E82" w:rsidP="003B3E82">
      <w:pPr>
        <w:pStyle w:val="Paragraphedeliste"/>
        <w:numPr>
          <w:ilvl w:val="0"/>
          <w:numId w:val="40"/>
        </w:numPr>
      </w:pPr>
      <w:r>
        <w:t xml:space="preserve">Avis de la Commission nationale du patrimoine et de l’architecture ; </w:t>
      </w:r>
    </w:p>
    <w:p w14:paraId="2BE7955D" w14:textId="77777777" w:rsidR="003B3E82" w:rsidRDefault="003B3E82" w:rsidP="003B3E82">
      <w:pPr>
        <w:pStyle w:val="Paragraphedeliste"/>
        <w:numPr>
          <w:ilvl w:val="0"/>
          <w:numId w:val="40"/>
        </w:numPr>
      </w:pPr>
      <w:r>
        <w:t xml:space="preserve">Enquête publique conduite par le préfet de département dans les conditions prévues aux articles L.123-1 et suivants et R.123-1 et suivants du code de l’environnement ; </w:t>
      </w:r>
    </w:p>
    <w:p w14:paraId="6E59C874" w14:textId="77777777" w:rsidR="003B3E82" w:rsidRDefault="003B3E82" w:rsidP="003B3E82">
      <w:pPr>
        <w:pStyle w:val="Paragraphedeliste"/>
        <w:numPr>
          <w:ilvl w:val="0"/>
          <w:numId w:val="40"/>
        </w:numPr>
      </w:pPr>
      <w:r>
        <w:t xml:space="preserve">Recueil de l’avis de Commission nationale du patrimoine et de l’architecture par le ministre en charge de culture si le projet est modifié à l’issue de l’enquête publique ; </w:t>
      </w:r>
    </w:p>
    <w:p w14:paraId="056C08C6" w14:textId="77777777" w:rsidR="003B3E82" w:rsidRDefault="003B3E82" w:rsidP="003B3E82">
      <w:pPr>
        <w:pStyle w:val="Paragraphedeliste"/>
        <w:numPr>
          <w:ilvl w:val="0"/>
          <w:numId w:val="40"/>
        </w:numPr>
      </w:pPr>
      <w:r>
        <w:t xml:space="preserve">Décision (le périmètre est annexé à la décision) ; </w:t>
      </w:r>
    </w:p>
    <w:p w14:paraId="1C994682" w14:textId="77777777" w:rsidR="003B3E82" w:rsidRDefault="003B3E82" w:rsidP="003B3E82">
      <w:pPr>
        <w:pStyle w:val="Paragraphedeliste"/>
        <w:numPr>
          <w:ilvl w:val="0"/>
          <w:numId w:val="40"/>
        </w:numPr>
      </w:pPr>
      <w:r>
        <w:t xml:space="preserve">Mesures de publicité prévues à l’article R.153-21 du code de l’urbanisme (affichage au siège de l’autorité compétente et dans la mairie concernée durant un mois, mention dans un journal diffusé dans le département et publication au Journal officiel de la République française) ; </w:t>
      </w:r>
    </w:p>
    <w:p w14:paraId="3F32B401" w14:textId="77777777" w:rsidR="003B3E82" w:rsidRDefault="003B3E82" w:rsidP="003B3E82">
      <w:pPr>
        <w:pStyle w:val="Paragraphedeliste"/>
        <w:numPr>
          <w:ilvl w:val="0"/>
          <w:numId w:val="40"/>
        </w:numPr>
      </w:pPr>
      <w:r>
        <w:t xml:space="preserve">Annexion du tracé du site patrimonial remarquable au plan local d’urbanisme ou à la carte communale. </w:t>
      </w:r>
    </w:p>
    <w:p w14:paraId="17306ED8" w14:textId="77777777" w:rsidR="003B3E82" w:rsidRPr="00536253" w:rsidRDefault="003B3E82" w:rsidP="003B3E82">
      <w:pPr>
        <w:rPr>
          <w:b/>
          <w:bCs/>
        </w:rPr>
      </w:pPr>
      <w:r w:rsidRPr="00536253">
        <w:rPr>
          <w:b/>
          <w:bCs/>
        </w:rPr>
        <w:t xml:space="preserve">Procédure de modification du périmètre du site patrimonial remarquable </w:t>
      </w:r>
    </w:p>
    <w:p w14:paraId="38191E33" w14:textId="77777777" w:rsidR="003B3E82" w:rsidRDefault="003B3E82" w:rsidP="003B3E82">
      <w:r>
        <w:t xml:space="preserve">Le périmètre d’un site patrimonial remarquable ne peut être modifié qu’en suivant la procédure de classement (article L.631-2 du code du patrimoine). </w:t>
      </w:r>
    </w:p>
    <w:p w14:paraId="36A85A2D" w14:textId="77777777" w:rsidR="003B3E82" w:rsidRPr="00536253" w:rsidRDefault="003B3E82" w:rsidP="003B3E82">
      <w:pPr>
        <w:rPr>
          <w:b/>
          <w:bCs/>
        </w:rPr>
      </w:pPr>
      <w:r w:rsidRPr="00536253">
        <w:rPr>
          <w:b/>
          <w:bCs/>
        </w:rPr>
        <w:t xml:space="preserve">Procédure de suppression d’un périmètre de site patrimonial remarquable </w:t>
      </w:r>
    </w:p>
    <w:p w14:paraId="34DE7F8D" w14:textId="1767E2A0" w:rsidR="003B3E82" w:rsidRDefault="003B3E82" w:rsidP="00895474">
      <w:r>
        <w:t>Par parallélisme des formes, un site patrimonial remarquable ne peut être supprimé qu’en suivant la procédure de classement.</w:t>
      </w:r>
    </w:p>
    <w:p w14:paraId="56D005EF" w14:textId="77777777" w:rsidR="003B3E82" w:rsidRPr="00895474" w:rsidRDefault="003B3E82" w:rsidP="003B3E82">
      <w:pPr>
        <w:pStyle w:val="Titre4"/>
        <w:numPr>
          <w:ilvl w:val="0"/>
          <w:numId w:val="0"/>
        </w:numPr>
        <w:ind w:left="714" w:hanging="357"/>
        <w:rPr>
          <w:sz w:val="28"/>
          <w:szCs w:val="28"/>
        </w:rPr>
      </w:pPr>
      <w:r w:rsidRPr="00895474">
        <w:rPr>
          <w:sz w:val="28"/>
          <w:szCs w:val="28"/>
        </w:rPr>
        <w:t xml:space="preserve">2. Le plan de valorisation de l’architecture et du patrimoine (PVAP) </w:t>
      </w:r>
    </w:p>
    <w:p w14:paraId="05808722" w14:textId="77777777" w:rsidR="003B3E82" w:rsidRPr="00537933" w:rsidRDefault="003B3E82" w:rsidP="003B3E82">
      <w:pPr>
        <w:rPr>
          <w:b/>
          <w:bCs/>
          <w:sz w:val="28"/>
          <w:szCs w:val="28"/>
        </w:rPr>
      </w:pPr>
      <w:r w:rsidRPr="00537933">
        <w:rPr>
          <w:b/>
          <w:bCs/>
        </w:rPr>
        <w:t xml:space="preserve">Procédure d’élaboration d’un PVAP </w:t>
      </w:r>
    </w:p>
    <w:p w14:paraId="2ECCC6A5" w14:textId="77777777" w:rsidR="003B3E82" w:rsidRPr="00B93CD7" w:rsidRDefault="003B3E82" w:rsidP="003B3E82">
      <w:pPr>
        <w:pStyle w:val="Paragraphedeliste"/>
        <w:numPr>
          <w:ilvl w:val="0"/>
          <w:numId w:val="40"/>
        </w:numPr>
      </w:pPr>
      <w:r w:rsidRPr="00B93CD7">
        <w:t xml:space="preserve">Consultation de la commune concernée le cas échéant (en cas de désaccord entre l’EPCI et la commune, l’avis de la Commission nationale du patrimoine et de l’architecture est sollicité́) </w:t>
      </w:r>
    </w:p>
    <w:p w14:paraId="00ED70A0" w14:textId="77777777" w:rsidR="003B3E82" w:rsidRPr="00B93CD7" w:rsidRDefault="003B3E82" w:rsidP="003B3E82">
      <w:pPr>
        <w:pStyle w:val="Paragraphedeliste"/>
        <w:numPr>
          <w:ilvl w:val="0"/>
          <w:numId w:val="40"/>
        </w:numPr>
      </w:pPr>
      <w:r w:rsidRPr="00B93CD7">
        <w:t>Consultation de la commission locale ;</w:t>
      </w:r>
    </w:p>
    <w:p w14:paraId="300664F2" w14:textId="77777777" w:rsidR="003B3E82" w:rsidRPr="00B93CD7" w:rsidRDefault="003B3E82" w:rsidP="003B3E82">
      <w:pPr>
        <w:pStyle w:val="Paragraphedeliste"/>
        <w:numPr>
          <w:ilvl w:val="0"/>
          <w:numId w:val="40"/>
        </w:numPr>
      </w:pPr>
      <w:r w:rsidRPr="00B93CD7">
        <w:t xml:space="preserve">Arrêt du projet de PVAP par l’autorité́ compétente en matière de plan local d’urbanisme, de document en tenant lieu ou de carte communale ; </w:t>
      </w:r>
    </w:p>
    <w:p w14:paraId="005B61F3" w14:textId="77777777" w:rsidR="003B3E82" w:rsidRPr="00B93CD7" w:rsidRDefault="003B3E82" w:rsidP="003B3E82">
      <w:pPr>
        <w:pStyle w:val="Paragraphedeliste"/>
        <w:numPr>
          <w:ilvl w:val="0"/>
          <w:numId w:val="40"/>
        </w:numPr>
      </w:pPr>
      <w:r w:rsidRPr="00B93CD7">
        <w:lastRenderedPageBreak/>
        <w:t xml:space="preserve">Avis de la commission régionale du patrimoine et de l’architecture ; avis des personnes publiques associées ; </w:t>
      </w:r>
    </w:p>
    <w:p w14:paraId="4CC95193" w14:textId="77777777" w:rsidR="003B3E82" w:rsidRPr="00B93CD7" w:rsidRDefault="003B3E82" w:rsidP="003B3E82">
      <w:pPr>
        <w:pStyle w:val="Paragraphedeliste"/>
        <w:numPr>
          <w:ilvl w:val="0"/>
          <w:numId w:val="40"/>
        </w:numPr>
      </w:pPr>
      <w:r w:rsidRPr="00B93CD7">
        <w:t>Enquête publique conduite par l’autorité́ compétente en matière de plan local d’urbanisme, de document en tenant lieu ou de carte communale ;</w:t>
      </w:r>
    </w:p>
    <w:p w14:paraId="624B4FA1" w14:textId="77777777" w:rsidR="003B3E82" w:rsidRPr="00B93CD7" w:rsidRDefault="003B3E82" w:rsidP="003B3E82">
      <w:pPr>
        <w:pStyle w:val="Paragraphedeliste"/>
        <w:numPr>
          <w:ilvl w:val="0"/>
          <w:numId w:val="40"/>
        </w:numPr>
      </w:pPr>
      <w:r w:rsidRPr="00B93CD7">
        <w:t xml:space="preserve">Accord du préfet de région si le projet n’a pas </w:t>
      </w:r>
      <w:proofErr w:type="spellStart"/>
      <w:r w:rsidRPr="00B93CD7">
        <w:t>éte</w:t>
      </w:r>
      <w:proofErr w:type="spellEnd"/>
      <w:r w:rsidRPr="00B93CD7">
        <w:t xml:space="preserve">́ modifié ; </w:t>
      </w:r>
    </w:p>
    <w:p w14:paraId="7E3AAE26" w14:textId="77777777" w:rsidR="003B3E82" w:rsidRPr="00B93CD7" w:rsidRDefault="003B3E82" w:rsidP="003B3E82">
      <w:pPr>
        <w:pStyle w:val="Paragraphedeliste"/>
        <w:numPr>
          <w:ilvl w:val="0"/>
          <w:numId w:val="40"/>
        </w:numPr>
      </w:pPr>
      <w:r w:rsidRPr="00B93CD7">
        <w:t xml:space="preserve">Adoption par l’organe délibérant de l’autorité́ compétente en matière de plan local d’urbanisme, de document en tenant lieu ou de carte communale ; </w:t>
      </w:r>
    </w:p>
    <w:p w14:paraId="2C37DFC4" w14:textId="77777777" w:rsidR="003B3E82" w:rsidRPr="00B93CD7" w:rsidRDefault="003B3E82" w:rsidP="003B3E82">
      <w:pPr>
        <w:pStyle w:val="Paragraphedeliste"/>
        <w:numPr>
          <w:ilvl w:val="0"/>
          <w:numId w:val="40"/>
        </w:numPr>
      </w:pPr>
      <w:r w:rsidRPr="00B93CD7">
        <w:t>Mesures de publicité́ prévues à l’article R.153-21 du code de l’urbanisme (affichage pendant un mois au siège de l'EPCI compétent et dans la ou les mairies des communes membres concernées, insertion dans un journal diffusé dans le département et publication au recueil des actes administratifs) ;</w:t>
      </w:r>
    </w:p>
    <w:p w14:paraId="769034B2" w14:textId="77777777" w:rsidR="003B3E82" w:rsidRPr="00B93CD7" w:rsidRDefault="003B3E82" w:rsidP="003B3E82">
      <w:pPr>
        <w:pStyle w:val="Paragraphedeliste"/>
        <w:numPr>
          <w:ilvl w:val="0"/>
          <w:numId w:val="40"/>
        </w:numPr>
      </w:pPr>
      <w:r w:rsidRPr="00B93CD7">
        <w:t xml:space="preserve">Annexion au plan local d’urbanisme en application de l’article L.151-43 du code de l’urbanisme. </w:t>
      </w:r>
    </w:p>
    <w:p w14:paraId="15429058" w14:textId="77777777" w:rsidR="003B3E82" w:rsidRPr="00537933" w:rsidRDefault="003B3E82" w:rsidP="003B3E82">
      <w:pPr>
        <w:rPr>
          <w:rFonts w:cstheme="minorHAnsi"/>
          <w:b/>
          <w:bCs/>
          <w:sz w:val="28"/>
          <w:szCs w:val="28"/>
        </w:rPr>
      </w:pPr>
      <w:r w:rsidRPr="00537933">
        <w:rPr>
          <w:rFonts w:cstheme="minorHAnsi"/>
          <w:b/>
          <w:bCs/>
        </w:rPr>
        <w:t xml:space="preserve">Procédure de révision d’un PVAP </w:t>
      </w:r>
    </w:p>
    <w:p w14:paraId="35A8473A" w14:textId="77777777" w:rsidR="003B3E82" w:rsidRPr="00537933" w:rsidRDefault="003B3E82" w:rsidP="003B3E82">
      <w:pPr>
        <w:rPr>
          <w:rFonts w:cstheme="minorHAnsi"/>
          <w:sz w:val="28"/>
          <w:szCs w:val="28"/>
        </w:rPr>
      </w:pPr>
      <w:r w:rsidRPr="00537933">
        <w:rPr>
          <w:rFonts w:cstheme="minorHAnsi"/>
        </w:rPr>
        <w:t xml:space="preserve">La révision d’un PVAP a lieu dans les mêmes conditions que l’élaboration. </w:t>
      </w:r>
    </w:p>
    <w:p w14:paraId="13C14BF2" w14:textId="77777777" w:rsidR="003B3E82" w:rsidRPr="00537933" w:rsidRDefault="003B3E82" w:rsidP="003B3E82">
      <w:pPr>
        <w:rPr>
          <w:rFonts w:cstheme="minorHAnsi"/>
          <w:b/>
          <w:bCs/>
          <w:sz w:val="28"/>
          <w:szCs w:val="28"/>
        </w:rPr>
      </w:pPr>
      <w:r w:rsidRPr="00537933">
        <w:rPr>
          <w:rFonts w:cstheme="minorHAnsi"/>
          <w:b/>
          <w:bCs/>
        </w:rPr>
        <w:t xml:space="preserve">Procédure de modification d’un PVAP </w:t>
      </w:r>
    </w:p>
    <w:p w14:paraId="798B4E83" w14:textId="77777777" w:rsidR="003B3E82" w:rsidRDefault="003B3E82" w:rsidP="003B3E82">
      <w:pPr>
        <w:rPr>
          <w:rFonts w:cstheme="minorHAnsi"/>
        </w:rPr>
      </w:pPr>
      <w:r w:rsidRPr="00537933">
        <w:rPr>
          <w:rFonts w:cstheme="minorHAnsi"/>
        </w:rPr>
        <w:t xml:space="preserve">Un PVAP peut être modifié lorsqu’il n’est pas porté atteinte </w:t>
      </w:r>
      <w:proofErr w:type="spellStart"/>
      <w:r w:rsidRPr="00537933">
        <w:rPr>
          <w:rFonts w:cstheme="minorHAnsi"/>
        </w:rPr>
        <w:t>a</w:t>
      </w:r>
      <w:proofErr w:type="spellEnd"/>
      <w:r w:rsidRPr="00537933">
        <w:rPr>
          <w:rFonts w:cstheme="minorHAnsi"/>
        </w:rPr>
        <w:t xml:space="preserve">̀ l’économie générale de ses dispositions relatives </w:t>
      </w:r>
      <w:proofErr w:type="spellStart"/>
      <w:r w:rsidRPr="00537933">
        <w:rPr>
          <w:rFonts w:cstheme="minorHAnsi"/>
        </w:rPr>
        <w:t>a</w:t>
      </w:r>
      <w:proofErr w:type="spellEnd"/>
      <w:r w:rsidRPr="00537933">
        <w:rPr>
          <w:rFonts w:cstheme="minorHAnsi"/>
        </w:rPr>
        <w:t xml:space="preserve">̀ la protection du patrimoine bâti et des espaces. La procédure de modification prévoit les étapes suivantes : </w:t>
      </w:r>
    </w:p>
    <w:p w14:paraId="7050025B" w14:textId="77777777" w:rsidR="003B3E82" w:rsidRPr="000F0C10" w:rsidRDefault="003B3E82" w:rsidP="003B3E82">
      <w:pPr>
        <w:pStyle w:val="Paragraphedeliste"/>
        <w:numPr>
          <w:ilvl w:val="0"/>
          <w:numId w:val="37"/>
        </w:numPr>
        <w:rPr>
          <w:rFonts w:cstheme="minorHAnsi"/>
          <w:sz w:val="28"/>
          <w:szCs w:val="28"/>
        </w:rPr>
      </w:pPr>
      <w:r w:rsidRPr="000F0C10">
        <w:rPr>
          <w:rFonts w:cstheme="minorHAnsi"/>
        </w:rPr>
        <w:t>Consultation de l’architecte des bâtiments de France (ABF) ;</w:t>
      </w:r>
      <w:r w:rsidRPr="000F0C10">
        <w:rPr>
          <w:rFonts w:cstheme="minorHAnsi"/>
        </w:rPr>
        <w:br/>
        <w:t xml:space="preserve">- enquête publique ; </w:t>
      </w:r>
    </w:p>
    <w:p w14:paraId="4877462F" w14:textId="77777777" w:rsidR="003B3E82" w:rsidRPr="000F0C10" w:rsidRDefault="003B3E82" w:rsidP="003B3E82">
      <w:pPr>
        <w:pStyle w:val="Paragraphedeliste"/>
        <w:numPr>
          <w:ilvl w:val="0"/>
          <w:numId w:val="37"/>
        </w:numPr>
        <w:rPr>
          <w:rFonts w:cstheme="minorHAnsi"/>
          <w:sz w:val="28"/>
          <w:szCs w:val="28"/>
        </w:rPr>
      </w:pPr>
      <w:r w:rsidRPr="000F0C10">
        <w:rPr>
          <w:rFonts w:cstheme="minorHAnsi"/>
        </w:rPr>
        <w:t xml:space="preserve">Accord du préfet de région </w:t>
      </w:r>
    </w:p>
    <w:p w14:paraId="22CC4CEC" w14:textId="77777777" w:rsidR="003B3E82" w:rsidRPr="000F0C10" w:rsidRDefault="003B3E82" w:rsidP="003B3E82">
      <w:pPr>
        <w:pStyle w:val="Paragraphedeliste"/>
        <w:numPr>
          <w:ilvl w:val="0"/>
          <w:numId w:val="37"/>
        </w:numPr>
        <w:rPr>
          <w:rFonts w:cstheme="minorHAnsi"/>
          <w:sz w:val="28"/>
          <w:szCs w:val="28"/>
        </w:rPr>
      </w:pPr>
      <w:r w:rsidRPr="000F0C10">
        <w:rPr>
          <w:rFonts w:cstheme="minorHAnsi"/>
        </w:rPr>
        <w:t>Délibération de l’organe délibérant de l’autorité́ compétente en matière de plan local d’urbanisme, de document en tenant lieu ou de carte communale ;</w:t>
      </w:r>
    </w:p>
    <w:p w14:paraId="12AFB707" w14:textId="77777777" w:rsidR="003B3E82" w:rsidRPr="000F0C10" w:rsidRDefault="003B3E82" w:rsidP="003B3E82">
      <w:pPr>
        <w:pStyle w:val="Paragraphedeliste"/>
        <w:numPr>
          <w:ilvl w:val="0"/>
          <w:numId w:val="37"/>
        </w:numPr>
        <w:rPr>
          <w:rFonts w:cstheme="minorHAnsi"/>
          <w:sz w:val="28"/>
          <w:szCs w:val="28"/>
        </w:rPr>
      </w:pPr>
      <w:r w:rsidRPr="000F0C10">
        <w:rPr>
          <w:rFonts w:cstheme="minorHAnsi"/>
        </w:rPr>
        <w:t xml:space="preserve"> Annexion au document d’urbanisme. </w:t>
      </w:r>
    </w:p>
    <w:p w14:paraId="7A0D5158" w14:textId="77777777" w:rsidR="003B3E82" w:rsidRPr="00537933" w:rsidRDefault="003B3E82" w:rsidP="003B3E82">
      <w:pPr>
        <w:rPr>
          <w:rFonts w:cstheme="minorHAnsi"/>
          <w:sz w:val="28"/>
          <w:szCs w:val="28"/>
        </w:rPr>
      </w:pPr>
      <w:r w:rsidRPr="00537933">
        <w:rPr>
          <w:rFonts w:cstheme="minorHAnsi"/>
        </w:rPr>
        <w:t xml:space="preserve">Procédure de suppression d’un PVAP </w:t>
      </w:r>
    </w:p>
    <w:p w14:paraId="6E7CD837" w14:textId="1DE79E92" w:rsidR="003B3E82" w:rsidRDefault="003B3E82" w:rsidP="00895474">
      <w:pPr>
        <w:rPr>
          <w:rFonts w:cstheme="minorHAnsi"/>
        </w:rPr>
      </w:pPr>
      <w:r w:rsidRPr="00537933">
        <w:rPr>
          <w:rFonts w:cstheme="minorHAnsi"/>
        </w:rPr>
        <w:t xml:space="preserve">Par parallélisme des formes, un PVAP ne peut être supprimé qu’en suivant la procédure d’élaboration. </w:t>
      </w:r>
    </w:p>
    <w:p w14:paraId="467FA732" w14:textId="77777777" w:rsidR="003B3E82" w:rsidRPr="00895474" w:rsidRDefault="003B3E82" w:rsidP="003B3E82">
      <w:pPr>
        <w:pStyle w:val="Titre4"/>
        <w:numPr>
          <w:ilvl w:val="0"/>
          <w:numId w:val="35"/>
        </w:numPr>
        <w:rPr>
          <w:sz w:val="28"/>
          <w:szCs w:val="28"/>
        </w:rPr>
      </w:pPr>
      <w:r w:rsidRPr="00895474">
        <w:rPr>
          <w:sz w:val="28"/>
          <w:szCs w:val="28"/>
        </w:rPr>
        <w:t xml:space="preserve">Les </w:t>
      </w:r>
      <w:r w:rsidRPr="00895474">
        <w:rPr>
          <w:sz w:val="28"/>
          <w:szCs w:val="28"/>
          <w:shd w:val="clear" w:color="auto" w:fill="FFFFFF"/>
        </w:rPr>
        <w:t xml:space="preserve">aires de mise en valeur de l’architecture et du patrimoine </w:t>
      </w:r>
      <w:r w:rsidRPr="00895474">
        <w:rPr>
          <w:sz w:val="28"/>
          <w:szCs w:val="28"/>
        </w:rPr>
        <w:t xml:space="preserve">(AVAP) mises </w:t>
      </w:r>
      <w:proofErr w:type="spellStart"/>
      <w:r w:rsidRPr="00895474">
        <w:rPr>
          <w:sz w:val="28"/>
          <w:szCs w:val="28"/>
        </w:rPr>
        <w:t>a</w:t>
      </w:r>
      <w:proofErr w:type="spellEnd"/>
      <w:r w:rsidRPr="00895474">
        <w:rPr>
          <w:sz w:val="28"/>
          <w:szCs w:val="28"/>
        </w:rPr>
        <w:t xml:space="preserve">̀ l’étude avant la loi LCAP </w:t>
      </w:r>
    </w:p>
    <w:p w14:paraId="2A3E14B0" w14:textId="77777777" w:rsidR="003B3E82" w:rsidRPr="000F0C10" w:rsidRDefault="003B3E82" w:rsidP="003B3E82">
      <w:pPr>
        <w:rPr>
          <w:rFonts w:cstheme="minorHAnsi"/>
          <w:sz w:val="28"/>
          <w:szCs w:val="28"/>
        </w:rPr>
      </w:pPr>
      <w:r w:rsidRPr="000F0C10">
        <w:rPr>
          <w:rFonts w:cstheme="minorHAnsi"/>
        </w:rPr>
        <w:t xml:space="preserve">Procédure d’élaboration d’une AVAP </w:t>
      </w:r>
    </w:p>
    <w:p w14:paraId="2AAC7084"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 xml:space="preserve">Délibération de la collectivité́ territoriale ou de l’EPCI compétent en matière de PLU pour la mise </w:t>
      </w:r>
      <w:proofErr w:type="spellStart"/>
      <w:r w:rsidRPr="000F0C10">
        <w:rPr>
          <w:rFonts w:cstheme="minorHAnsi"/>
        </w:rPr>
        <w:t>a</w:t>
      </w:r>
      <w:proofErr w:type="spellEnd"/>
      <w:r w:rsidRPr="000F0C10">
        <w:rPr>
          <w:rFonts w:cstheme="minorHAnsi"/>
        </w:rPr>
        <w:t>̀ l’étude du projet d’AVAP ;</w:t>
      </w:r>
    </w:p>
    <w:p w14:paraId="346543DB"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Conduite de l’étude par la collectivité́ territoriale ou par l’EPCI en association avec l’ABF ;</w:t>
      </w:r>
    </w:p>
    <w:p w14:paraId="2BE90279"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 xml:space="preserve">Délibération arrêtant le projet d’AVAP ; </w:t>
      </w:r>
    </w:p>
    <w:p w14:paraId="2510B499"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 xml:space="preserve">Avis de la commission régionale du patrimoine et de l’architecture ; </w:t>
      </w:r>
    </w:p>
    <w:p w14:paraId="0CED26DB"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Examen par les personnes publiques associées ;</w:t>
      </w:r>
    </w:p>
    <w:p w14:paraId="00F847CD"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Enquête publique ;</w:t>
      </w:r>
    </w:p>
    <w:p w14:paraId="4FE72557" w14:textId="77777777" w:rsidR="003B3E82" w:rsidRPr="000F0C10" w:rsidRDefault="003B3E82" w:rsidP="003B3E82">
      <w:pPr>
        <w:pStyle w:val="Paragraphedeliste"/>
        <w:numPr>
          <w:ilvl w:val="0"/>
          <w:numId w:val="38"/>
        </w:numPr>
        <w:rPr>
          <w:rFonts w:cstheme="minorHAnsi"/>
          <w:sz w:val="28"/>
          <w:szCs w:val="28"/>
        </w:rPr>
      </w:pPr>
      <w:r w:rsidRPr="000F0C10">
        <w:rPr>
          <w:rFonts w:cstheme="minorHAnsi"/>
        </w:rPr>
        <w:t xml:space="preserve"> Projet de création de l’AVAP ; </w:t>
      </w:r>
    </w:p>
    <w:p w14:paraId="71905857" w14:textId="77777777" w:rsidR="003B3E82" w:rsidRPr="000F0C10" w:rsidRDefault="003B3E82" w:rsidP="003B3E82">
      <w:pPr>
        <w:pStyle w:val="Paragraphedeliste"/>
        <w:numPr>
          <w:ilvl w:val="0"/>
          <w:numId w:val="38"/>
        </w:numPr>
        <w:rPr>
          <w:rFonts w:cstheme="minorHAnsi"/>
          <w:sz w:val="28"/>
          <w:szCs w:val="28"/>
        </w:rPr>
      </w:pPr>
      <w:r>
        <w:rPr>
          <w:rFonts w:cstheme="minorHAnsi"/>
        </w:rPr>
        <w:lastRenderedPageBreak/>
        <w:t>Accord</w:t>
      </w:r>
      <w:r w:rsidRPr="000F0C10">
        <w:rPr>
          <w:rFonts w:ascii="ArialMT" w:hAnsi="ArialMT"/>
          <w:sz w:val="20"/>
          <w:szCs w:val="20"/>
        </w:rPr>
        <w:t xml:space="preserve"> du préfet de département ;</w:t>
      </w:r>
    </w:p>
    <w:p w14:paraId="4999EFD3" w14:textId="77777777" w:rsidR="003B3E82" w:rsidRPr="000F0C10" w:rsidRDefault="003B3E82" w:rsidP="003B3E82">
      <w:pPr>
        <w:pStyle w:val="Paragraphedeliste"/>
        <w:numPr>
          <w:ilvl w:val="0"/>
          <w:numId w:val="38"/>
        </w:numPr>
        <w:rPr>
          <w:rFonts w:cstheme="minorHAnsi"/>
          <w:sz w:val="28"/>
          <w:szCs w:val="28"/>
        </w:rPr>
      </w:pPr>
      <w:r w:rsidRPr="000F0C10">
        <w:rPr>
          <w:rFonts w:ascii="ArialMT" w:hAnsi="ArialMT"/>
          <w:sz w:val="20"/>
          <w:szCs w:val="20"/>
        </w:rPr>
        <w:t>Délibération de la collectivit</w:t>
      </w:r>
      <w:r>
        <w:rPr>
          <w:rFonts w:ascii="ArialMT" w:hAnsi="ArialMT"/>
          <w:sz w:val="20"/>
          <w:szCs w:val="20"/>
        </w:rPr>
        <w:t>é</w:t>
      </w:r>
      <w:r w:rsidRPr="000F0C10">
        <w:rPr>
          <w:rFonts w:ascii="ArialMT" w:hAnsi="ArialMT"/>
          <w:sz w:val="20"/>
          <w:szCs w:val="20"/>
        </w:rPr>
        <w:t xml:space="preserve"> territoriale ou de l’EPCI approuvant la création de l’AVAP ; </w:t>
      </w:r>
    </w:p>
    <w:p w14:paraId="319252FC" w14:textId="77777777" w:rsidR="003B3E82" w:rsidRPr="000F0C10" w:rsidRDefault="003B3E82" w:rsidP="003B3E82">
      <w:pPr>
        <w:pStyle w:val="Paragraphedeliste"/>
        <w:numPr>
          <w:ilvl w:val="0"/>
          <w:numId w:val="38"/>
        </w:numPr>
        <w:rPr>
          <w:rFonts w:cstheme="minorHAnsi"/>
          <w:sz w:val="28"/>
          <w:szCs w:val="28"/>
        </w:rPr>
      </w:pPr>
      <w:r w:rsidRPr="000F0C10">
        <w:rPr>
          <w:rFonts w:ascii="ArialMT" w:hAnsi="ArialMT"/>
          <w:sz w:val="20"/>
          <w:szCs w:val="20"/>
        </w:rPr>
        <w:t>Mesures de publicit</w:t>
      </w:r>
      <w:r>
        <w:rPr>
          <w:rFonts w:ascii="ArialMT" w:hAnsi="ArialMT"/>
          <w:sz w:val="20"/>
          <w:szCs w:val="20"/>
        </w:rPr>
        <w:t>é ;</w:t>
      </w:r>
    </w:p>
    <w:p w14:paraId="55866583" w14:textId="77777777" w:rsidR="003B3E82" w:rsidRPr="000F0C10" w:rsidRDefault="003B3E82" w:rsidP="003B3E82">
      <w:pPr>
        <w:pStyle w:val="Paragraphedeliste"/>
        <w:numPr>
          <w:ilvl w:val="0"/>
          <w:numId w:val="38"/>
        </w:numPr>
        <w:rPr>
          <w:rFonts w:cstheme="minorHAnsi"/>
          <w:sz w:val="28"/>
          <w:szCs w:val="28"/>
        </w:rPr>
      </w:pPr>
      <w:r w:rsidRPr="000F0C10">
        <w:rPr>
          <w:rFonts w:ascii="ArialMT" w:hAnsi="ArialMT"/>
          <w:sz w:val="20"/>
          <w:szCs w:val="20"/>
        </w:rPr>
        <w:t xml:space="preserve">Annexion au document d’urbanisme. </w:t>
      </w:r>
    </w:p>
    <w:p w14:paraId="1FF135DF" w14:textId="77777777" w:rsidR="003B3E82" w:rsidRDefault="003B3E82" w:rsidP="003B3E82">
      <w:r>
        <w:rPr>
          <w:rFonts w:ascii="ArialMT" w:hAnsi="ArialMT"/>
          <w:sz w:val="20"/>
          <w:szCs w:val="20"/>
        </w:rPr>
        <w:t xml:space="preserve">Au jour de leur création, les AVAP deviennent des sites patrimoniaux remarquables. </w:t>
      </w:r>
    </w:p>
    <w:p w14:paraId="03AC7957" w14:textId="77777777" w:rsidR="003B3E82" w:rsidRPr="00895474" w:rsidRDefault="003B3E82" w:rsidP="003B3E82">
      <w:pPr>
        <w:pStyle w:val="Titre4"/>
        <w:rPr>
          <w:sz w:val="28"/>
          <w:szCs w:val="28"/>
        </w:rPr>
      </w:pPr>
      <w:r w:rsidRPr="00895474">
        <w:rPr>
          <w:sz w:val="28"/>
          <w:szCs w:val="28"/>
        </w:rPr>
        <w:t xml:space="preserve"> Procédure de modification du règlement d’une AVAP (ou d’une ZPPAUP) </w:t>
      </w:r>
    </w:p>
    <w:p w14:paraId="0AB7C378" w14:textId="626A73EA" w:rsidR="004D10AB" w:rsidRDefault="003B3E82" w:rsidP="003B3E82">
      <w:r w:rsidRPr="00453EA2">
        <w:t xml:space="preserve">Conformément </w:t>
      </w:r>
      <w:proofErr w:type="spellStart"/>
      <w:r w:rsidRPr="00453EA2">
        <w:t>a</w:t>
      </w:r>
      <w:proofErr w:type="spellEnd"/>
      <w:r w:rsidRPr="00453EA2">
        <w:t xml:space="preserve">̀ l’article 112 de la loi LCAP, le règlement d’une AVAP ou d’une ZPPAUP peut être modifié lorsqu'il n'est pas porté atteinte à ses dispositions relatives </w:t>
      </w:r>
      <w:proofErr w:type="spellStart"/>
      <w:r w:rsidRPr="00453EA2">
        <w:t>a</w:t>
      </w:r>
      <w:proofErr w:type="spellEnd"/>
      <w:r w:rsidRPr="00453EA2">
        <w:t xml:space="preserve">̀ la protection du patrimoine bâti et des espaces. Cette modification est prononcée par l'autorité́ compétente en matière de PLU, de document en tenant lieu ou de carte communale, après consultation de l'ABF, enquête publique et après accord du préfet de région. </w:t>
      </w:r>
      <w:r w:rsidR="00D85A19">
        <w:t xml:space="preserve"> </w:t>
      </w:r>
    </w:p>
    <w:p w14:paraId="55F4E50E" w14:textId="472AA5B0" w:rsidR="004D10AB" w:rsidRPr="00863BC5" w:rsidRDefault="004D10AB" w:rsidP="004D10AB">
      <w:pPr>
        <w:jc w:val="left"/>
      </w:pPr>
      <w:r>
        <w:br w:type="page"/>
      </w:r>
    </w:p>
    <w:p w14:paraId="68B44CA6" w14:textId="58EE617F" w:rsidR="00A3167A" w:rsidRDefault="00F96590" w:rsidP="003B3E82">
      <w:pPr>
        <w:pStyle w:val="Titre4"/>
        <w:numPr>
          <w:ilvl w:val="0"/>
          <w:numId w:val="42"/>
        </w:numPr>
      </w:pPr>
      <w:r>
        <w:lastRenderedPageBreak/>
        <w:t>Lieu d’application et dénomination</w:t>
      </w:r>
    </w:p>
    <w:p w14:paraId="4C1F30CF" w14:textId="3AEA8965" w:rsidR="00F96590" w:rsidRPr="00A6176A" w:rsidRDefault="00F96590" w:rsidP="00F96590">
      <w:pPr>
        <w:rPr>
          <w:b/>
          <w:bCs/>
        </w:rPr>
      </w:pPr>
      <w:r w:rsidRPr="00A6176A">
        <w:rPr>
          <w:b/>
          <w:bCs/>
        </w:rPr>
        <w:t>Communes concernées de la Métropole</w:t>
      </w:r>
    </w:p>
    <w:p w14:paraId="52A5B517" w14:textId="52B47FC5" w:rsidR="00F96590" w:rsidRPr="007204AB" w:rsidRDefault="00F96590" w:rsidP="00F96590"/>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167A" w:rsidRPr="007204AB" w14:paraId="7CBD3415" w14:textId="77777777" w:rsidTr="00550151">
        <w:tc>
          <w:tcPr>
            <w:tcW w:w="4531" w:type="dxa"/>
          </w:tcPr>
          <w:p w14:paraId="67ED61AE" w14:textId="75447986" w:rsidR="00A3167A" w:rsidRPr="007204AB" w:rsidRDefault="007204AB" w:rsidP="00A3167A">
            <w:pPr>
              <w:pStyle w:val="Paragraphedeliste"/>
              <w:numPr>
                <w:ilvl w:val="0"/>
                <w:numId w:val="12"/>
              </w:numPr>
              <w:rPr>
                <w:sz w:val="24"/>
                <w:szCs w:val="24"/>
              </w:rPr>
            </w:pPr>
            <w:r>
              <w:rPr>
                <w:sz w:val="24"/>
                <w:szCs w:val="24"/>
              </w:rPr>
              <w:t>Montpellier</w:t>
            </w:r>
          </w:p>
        </w:tc>
        <w:tc>
          <w:tcPr>
            <w:tcW w:w="4531" w:type="dxa"/>
          </w:tcPr>
          <w:p w14:paraId="18C94733" w14:textId="5EF705AF" w:rsidR="00A3167A" w:rsidRPr="007204AB" w:rsidRDefault="00A3167A" w:rsidP="007204AB">
            <w:pPr>
              <w:pStyle w:val="Paragraphedeliste"/>
              <w:rPr>
                <w:sz w:val="24"/>
                <w:szCs w:val="24"/>
              </w:rPr>
            </w:pPr>
          </w:p>
        </w:tc>
      </w:tr>
    </w:tbl>
    <w:p w14:paraId="3B109D71" w14:textId="0774D4E4" w:rsidR="00F96590" w:rsidRPr="007204AB" w:rsidRDefault="00F96590">
      <w:pPr>
        <w:jc w:val="left"/>
      </w:pPr>
    </w:p>
    <w:p w14:paraId="454FF8E3" w14:textId="3E6142D7" w:rsidR="00F96590" w:rsidRPr="007204AB" w:rsidRDefault="00F96590">
      <w:pPr>
        <w:jc w:val="left"/>
        <w:rPr>
          <w:b/>
          <w:bCs/>
        </w:rPr>
      </w:pPr>
      <w:r w:rsidRPr="007204AB">
        <w:rPr>
          <w:b/>
          <w:bCs/>
        </w:rPr>
        <w:t>Liste des SUP par commune</w:t>
      </w:r>
      <w:r w:rsidR="00A6176A" w:rsidRPr="007204AB">
        <w:rPr>
          <w:b/>
          <w:bCs/>
        </w:rPr>
        <w:t xml:space="preserve"> </w:t>
      </w:r>
    </w:p>
    <w:p w14:paraId="63A12104" w14:textId="71967EBB" w:rsidR="00F96590" w:rsidRPr="007204AB" w:rsidRDefault="00F96590">
      <w:pPr>
        <w:jc w:val="left"/>
      </w:pPr>
    </w:p>
    <w:tbl>
      <w:tblPr>
        <w:tblStyle w:val="Grilledutableau"/>
        <w:tblW w:w="9209" w:type="dxa"/>
        <w:tblLook w:val="04A0" w:firstRow="1" w:lastRow="0" w:firstColumn="1" w:lastColumn="0" w:noHBand="0" w:noVBand="1"/>
      </w:tblPr>
      <w:tblGrid>
        <w:gridCol w:w="1535"/>
        <w:gridCol w:w="1654"/>
        <w:gridCol w:w="4177"/>
        <w:gridCol w:w="1843"/>
      </w:tblGrid>
      <w:tr w:rsidR="000C4863" w:rsidRPr="007204AB" w14:paraId="50284864" w14:textId="77777777" w:rsidTr="000C4863">
        <w:tc>
          <w:tcPr>
            <w:tcW w:w="1535" w:type="dxa"/>
            <w:tcBorders>
              <w:bottom w:val="double" w:sz="4" w:space="0" w:color="auto"/>
            </w:tcBorders>
          </w:tcPr>
          <w:p w14:paraId="5D776432" w14:textId="77777777" w:rsidR="000C4863" w:rsidRPr="007204AB" w:rsidRDefault="000C4863" w:rsidP="00EE730C">
            <w:pPr>
              <w:rPr>
                <w:b/>
                <w:bCs/>
              </w:rPr>
            </w:pPr>
            <w:r w:rsidRPr="007204AB">
              <w:rPr>
                <w:b/>
                <w:bCs/>
              </w:rPr>
              <w:t>COMMUNES</w:t>
            </w:r>
          </w:p>
        </w:tc>
        <w:tc>
          <w:tcPr>
            <w:tcW w:w="1654" w:type="dxa"/>
            <w:tcBorders>
              <w:bottom w:val="double" w:sz="4" w:space="0" w:color="auto"/>
            </w:tcBorders>
          </w:tcPr>
          <w:p w14:paraId="484BC4F4" w14:textId="77777777" w:rsidR="000C4863" w:rsidRPr="007204AB" w:rsidRDefault="000C4863" w:rsidP="00EE730C">
            <w:pPr>
              <w:rPr>
                <w:b/>
                <w:bCs/>
              </w:rPr>
            </w:pPr>
            <w:r w:rsidRPr="007204AB">
              <w:rPr>
                <w:b/>
                <w:bCs/>
              </w:rPr>
              <w:t>DESIGNATION</w:t>
            </w:r>
          </w:p>
        </w:tc>
        <w:tc>
          <w:tcPr>
            <w:tcW w:w="4177" w:type="dxa"/>
            <w:tcBorders>
              <w:bottom w:val="double" w:sz="4" w:space="0" w:color="auto"/>
            </w:tcBorders>
          </w:tcPr>
          <w:p w14:paraId="1DCFA8F9" w14:textId="77777777" w:rsidR="000C4863" w:rsidRPr="007204AB" w:rsidRDefault="000C4863" w:rsidP="00EE730C">
            <w:pPr>
              <w:rPr>
                <w:b/>
                <w:bCs/>
              </w:rPr>
            </w:pPr>
            <w:r w:rsidRPr="007204AB">
              <w:rPr>
                <w:b/>
                <w:bCs/>
              </w:rPr>
              <w:t>NATURE</w:t>
            </w:r>
          </w:p>
        </w:tc>
        <w:tc>
          <w:tcPr>
            <w:tcW w:w="1843" w:type="dxa"/>
            <w:tcBorders>
              <w:bottom w:val="double" w:sz="4" w:space="0" w:color="auto"/>
            </w:tcBorders>
          </w:tcPr>
          <w:p w14:paraId="42921440" w14:textId="77777777" w:rsidR="000C4863" w:rsidRPr="007204AB" w:rsidRDefault="000C4863" w:rsidP="00EE730C">
            <w:pPr>
              <w:rPr>
                <w:b/>
                <w:bCs/>
              </w:rPr>
            </w:pPr>
            <w:r w:rsidRPr="007204AB">
              <w:rPr>
                <w:b/>
                <w:bCs/>
              </w:rPr>
              <w:t>DATE DE L’ACTE</w:t>
            </w:r>
          </w:p>
        </w:tc>
      </w:tr>
      <w:tr w:rsidR="000C4863" w:rsidRPr="007204AB" w14:paraId="7249C577" w14:textId="77777777" w:rsidTr="000C4863">
        <w:tc>
          <w:tcPr>
            <w:tcW w:w="1535" w:type="dxa"/>
            <w:tcBorders>
              <w:top w:val="single" w:sz="4" w:space="0" w:color="auto"/>
              <w:left w:val="nil"/>
              <w:right w:val="nil"/>
            </w:tcBorders>
          </w:tcPr>
          <w:p w14:paraId="37B27EC1" w14:textId="77777777" w:rsidR="000C4863" w:rsidRPr="007204AB" w:rsidRDefault="000C4863" w:rsidP="00EE730C">
            <w:pPr>
              <w:jc w:val="left"/>
              <w:rPr>
                <w:b/>
                <w:bCs/>
              </w:rPr>
            </w:pPr>
          </w:p>
        </w:tc>
        <w:tc>
          <w:tcPr>
            <w:tcW w:w="1654" w:type="dxa"/>
            <w:tcBorders>
              <w:top w:val="single" w:sz="4" w:space="0" w:color="auto"/>
              <w:left w:val="nil"/>
              <w:bottom w:val="single" w:sz="4" w:space="0" w:color="auto"/>
              <w:right w:val="nil"/>
            </w:tcBorders>
            <w:shd w:val="clear" w:color="auto" w:fill="auto"/>
          </w:tcPr>
          <w:p w14:paraId="55B5739A" w14:textId="77777777" w:rsidR="000C4863" w:rsidRPr="007204AB" w:rsidRDefault="000C4863" w:rsidP="00EE730C">
            <w:pPr>
              <w:jc w:val="left"/>
              <w:rPr>
                <w:b/>
                <w:bCs/>
              </w:rPr>
            </w:pPr>
          </w:p>
        </w:tc>
        <w:tc>
          <w:tcPr>
            <w:tcW w:w="4177" w:type="dxa"/>
            <w:tcBorders>
              <w:top w:val="single" w:sz="4" w:space="0" w:color="auto"/>
              <w:left w:val="nil"/>
              <w:bottom w:val="single" w:sz="4" w:space="0" w:color="auto"/>
              <w:right w:val="nil"/>
            </w:tcBorders>
            <w:shd w:val="clear" w:color="auto" w:fill="auto"/>
          </w:tcPr>
          <w:p w14:paraId="2D20AB58" w14:textId="77777777" w:rsidR="000C4863" w:rsidRPr="007204AB" w:rsidRDefault="000C4863" w:rsidP="00EE730C">
            <w:pPr>
              <w:jc w:val="left"/>
            </w:pPr>
          </w:p>
        </w:tc>
        <w:tc>
          <w:tcPr>
            <w:tcW w:w="1843" w:type="dxa"/>
            <w:tcBorders>
              <w:top w:val="single" w:sz="4" w:space="0" w:color="auto"/>
              <w:left w:val="nil"/>
              <w:bottom w:val="single" w:sz="4" w:space="0" w:color="auto"/>
              <w:right w:val="nil"/>
            </w:tcBorders>
            <w:shd w:val="clear" w:color="auto" w:fill="auto"/>
          </w:tcPr>
          <w:p w14:paraId="595A24FC" w14:textId="77777777" w:rsidR="000C4863" w:rsidRDefault="000C4863" w:rsidP="00EE730C">
            <w:pPr>
              <w:jc w:val="left"/>
            </w:pPr>
          </w:p>
        </w:tc>
      </w:tr>
      <w:tr w:rsidR="008E7608" w:rsidRPr="007204AB" w14:paraId="5900C14F" w14:textId="77777777" w:rsidTr="000C4863">
        <w:tc>
          <w:tcPr>
            <w:tcW w:w="1535" w:type="dxa"/>
            <w:vMerge w:val="restart"/>
            <w:tcBorders>
              <w:top w:val="single" w:sz="4" w:space="0" w:color="auto"/>
            </w:tcBorders>
          </w:tcPr>
          <w:p w14:paraId="369BF7C6" w14:textId="3BB91C77" w:rsidR="008E7608" w:rsidRPr="007204AB" w:rsidRDefault="008E7608" w:rsidP="00EE730C">
            <w:pPr>
              <w:jc w:val="left"/>
              <w:rPr>
                <w:b/>
                <w:bCs/>
              </w:rPr>
            </w:pPr>
            <w:r w:rsidRPr="007204AB">
              <w:rPr>
                <w:b/>
                <w:bCs/>
              </w:rPr>
              <w:t>Montpellier</w:t>
            </w:r>
          </w:p>
        </w:tc>
        <w:tc>
          <w:tcPr>
            <w:tcW w:w="1654" w:type="dxa"/>
            <w:tcBorders>
              <w:top w:val="single" w:sz="4" w:space="0" w:color="auto"/>
              <w:bottom w:val="single" w:sz="4" w:space="0" w:color="auto"/>
            </w:tcBorders>
            <w:shd w:val="clear" w:color="auto" w:fill="auto"/>
          </w:tcPr>
          <w:p w14:paraId="187D2CC4" w14:textId="5DA0FD5C" w:rsidR="008E7608" w:rsidRPr="007204AB" w:rsidRDefault="008E7608" w:rsidP="00E74964">
            <w:pPr>
              <w:jc w:val="left"/>
              <w:rPr>
                <w:b/>
                <w:bCs/>
              </w:rPr>
            </w:pPr>
            <w:r>
              <w:rPr>
                <w:b/>
                <w:bCs/>
              </w:rPr>
              <w:t>SPR</w:t>
            </w:r>
          </w:p>
        </w:tc>
        <w:tc>
          <w:tcPr>
            <w:tcW w:w="4177" w:type="dxa"/>
            <w:tcBorders>
              <w:top w:val="single" w:sz="4" w:space="0" w:color="auto"/>
              <w:bottom w:val="single" w:sz="4" w:space="0" w:color="auto"/>
            </w:tcBorders>
            <w:shd w:val="clear" w:color="auto" w:fill="auto"/>
          </w:tcPr>
          <w:p w14:paraId="152B19C5" w14:textId="08F56132" w:rsidR="008E7608" w:rsidRPr="007204AB" w:rsidRDefault="008E7608" w:rsidP="00EE730C">
            <w:pPr>
              <w:jc w:val="left"/>
            </w:pPr>
            <w:r>
              <w:t>PSMV</w:t>
            </w:r>
          </w:p>
        </w:tc>
        <w:tc>
          <w:tcPr>
            <w:tcW w:w="1843" w:type="dxa"/>
            <w:tcBorders>
              <w:top w:val="single" w:sz="4" w:space="0" w:color="auto"/>
              <w:bottom w:val="single" w:sz="4" w:space="0" w:color="auto"/>
            </w:tcBorders>
            <w:shd w:val="clear" w:color="auto" w:fill="auto"/>
          </w:tcPr>
          <w:p w14:paraId="318867BE" w14:textId="77777777" w:rsidR="008E7608" w:rsidRDefault="008E7608" w:rsidP="00EE730C">
            <w:pPr>
              <w:jc w:val="left"/>
            </w:pPr>
          </w:p>
        </w:tc>
      </w:tr>
      <w:tr w:rsidR="008E7608" w:rsidRPr="007204AB" w14:paraId="5CEA36BE" w14:textId="77777777" w:rsidTr="00F5299F">
        <w:tc>
          <w:tcPr>
            <w:tcW w:w="1535" w:type="dxa"/>
            <w:vMerge/>
          </w:tcPr>
          <w:p w14:paraId="6ECD61F8" w14:textId="0D84D3AC" w:rsidR="008E7608" w:rsidRPr="007204AB" w:rsidRDefault="008E7608" w:rsidP="00EE730C">
            <w:pPr>
              <w:jc w:val="left"/>
              <w:rPr>
                <w:b/>
                <w:bCs/>
              </w:rPr>
            </w:pPr>
          </w:p>
        </w:tc>
        <w:tc>
          <w:tcPr>
            <w:tcW w:w="1654" w:type="dxa"/>
            <w:tcBorders>
              <w:top w:val="single" w:sz="4" w:space="0" w:color="auto"/>
              <w:bottom w:val="single" w:sz="4" w:space="0" w:color="auto"/>
            </w:tcBorders>
            <w:shd w:val="clear" w:color="auto" w:fill="auto"/>
          </w:tcPr>
          <w:p w14:paraId="58345A1C" w14:textId="5E1E8D91" w:rsidR="008E7608" w:rsidRPr="007204AB" w:rsidRDefault="008E7608" w:rsidP="00E74964">
            <w:pPr>
              <w:jc w:val="left"/>
              <w:rPr>
                <w:b/>
                <w:bCs/>
              </w:rPr>
            </w:pPr>
            <w:r w:rsidRPr="007204AB">
              <w:rPr>
                <w:b/>
                <w:bCs/>
              </w:rPr>
              <w:t xml:space="preserve">SPR </w:t>
            </w:r>
          </w:p>
        </w:tc>
        <w:tc>
          <w:tcPr>
            <w:tcW w:w="4177" w:type="dxa"/>
            <w:tcBorders>
              <w:top w:val="single" w:sz="4" w:space="0" w:color="auto"/>
              <w:bottom w:val="single" w:sz="4" w:space="0" w:color="auto"/>
            </w:tcBorders>
            <w:shd w:val="clear" w:color="auto" w:fill="auto"/>
          </w:tcPr>
          <w:p w14:paraId="6B71B71D" w14:textId="77777777" w:rsidR="008E7608" w:rsidRPr="007204AB" w:rsidRDefault="008E7608" w:rsidP="00EE730C">
            <w:pPr>
              <w:jc w:val="left"/>
            </w:pPr>
            <w:r w:rsidRPr="007204AB">
              <w:t>AVAP Sud Gare-Méditerranée</w:t>
            </w:r>
          </w:p>
        </w:tc>
        <w:tc>
          <w:tcPr>
            <w:tcW w:w="1843" w:type="dxa"/>
            <w:tcBorders>
              <w:top w:val="single" w:sz="4" w:space="0" w:color="auto"/>
              <w:bottom w:val="single" w:sz="4" w:space="0" w:color="auto"/>
            </w:tcBorders>
            <w:shd w:val="clear" w:color="auto" w:fill="auto"/>
          </w:tcPr>
          <w:p w14:paraId="048AD6AA" w14:textId="70710575" w:rsidR="008E7608" w:rsidRPr="007204AB" w:rsidRDefault="008E7608" w:rsidP="00EE730C">
            <w:pPr>
              <w:jc w:val="left"/>
            </w:pPr>
            <w:r>
              <w:t>29/06/2017</w:t>
            </w:r>
          </w:p>
        </w:tc>
      </w:tr>
      <w:tr w:rsidR="008E7608" w:rsidRPr="007204AB" w14:paraId="37FCD941" w14:textId="77777777" w:rsidTr="000C4863">
        <w:tc>
          <w:tcPr>
            <w:tcW w:w="1535" w:type="dxa"/>
            <w:vMerge/>
          </w:tcPr>
          <w:p w14:paraId="204311FC" w14:textId="77777777" w:rsidR="008E7608" w:rsidRPr="007204AB" w:rsidRDefault="008E7608" w:rsidP="00EE730C">
            <w:pPr>
              <w:jc w:val="left"/>
              <w:rPr>
                <w:b/>
                <w:bCs/>
              </w:rPr>
            </w:pPr>
          </w:p>
        </w:tc>
        <w:tc>
          <w:tcPr>
            <w:tcW w:w="1654" w:type="dxa"/>
            <w:tcBorders>
              <w:top w:val="single" w:sz="4" w:space="0" w:color="auto"/>
              <w:bottom w:val="single" w:sz="4" w:space="0" w:color="auto"/>
            </w:tcBorders>
            <w:shd w:val="clear" w:color="auto" w:fill="auto"/>
          </w:tcPr>
          <w:p w14:paraId="4815A6CB" w14:textId="77777777" w:rsidR="008E7608" w:rsidRPr="007204AB" w:rsidRDefault="008E7608" w:rsidP="00EE730C">
            <w:pPr>
              <w:jc w:val="left"/>
              <w:rPr>
                <w:b/>
                <w:bCs/>
              </w:rPr>
            </w:pPr>
            <w:r w:rsidRPr="007204AB">
              <w:rPr>
                <w:b/>
                <w:bCs/>
              </w:rPr>
              <w:t>SPR</w:t>
            </w:r>
          </w:p>
        </w:tc>
        <w:tc>
          <w:tcPr>
            <w:tcW w:w="4177" w:type="dxa"/>
            <w:tcBorders>
              <w:top w:val="single" w:sz="4" w:space="0" w:color="auto"/>
              <w:bottom w:val="single" w:sz="4" w:space="0" w:color="auto"/>
            </w:tcBorders>
            <w:shd w:val="clear" w:color="auto" w:fill="auto"/>
          </w:tcPr>
          <w:p w14:paraId="01ACA712" w14:textId="77777777" w:rsidR="008E7608" w:rsidRPr="007204AB" w:rsidRDefault="008E7608" w:rsidP="00EE730C">
            <w:pPr>
              <w:jc w:val="left"/>
            </w:pPr>
            <w:r w:rsidRPr="007204AB">
              <w:t>AVAP Avenue de Lodève – Château de La Piscine</w:t>
            </w:r>
          </w:p>
        </w:tc>
        <w:tc>
          <w:tcPr>
            <w:tcW w:w="1843" w:type="dxa"/>
            <w:tcBorders>
              <w:top w:val="single" w:sz="4" w:space="0" w:color="auto"/>
              <w:bottom w:val="single" w:sz="4" w:space="0" w:color="auto"/>
            </w:tcBorders>
            <w:shd w:val="clear" w:color="auto" w:fill="auto"/>
          </w:tcPr>
          <w:p w14:paraId="5792118A" w14:textId="475A5B65" w:rsidR="008E7608" w:rsidRPr="007204AB" w:rsidRDefault="008E7608" w:rsidP="00EE730C">
            <w:pPr>
              <w:jc w:val="left"/>
            </w:pPr>
            <w:r>
              <w:t>29/06/2017</w:t>
            </w:r>
          </w:p>
        </w:tc>
      </w:tr>
      <w:tr w:rsidR="008E7608" w:rsidRPr="007204AB" w14:paraId="6D5FE025" w14:textId="77777777" w:rsidTr="000C4863">
        <w:tc>
          <w:tcPr>
            <w:tcW w:w="1535" w:type="dxa"/>
            <w:vMerge/>
            <w:tcBorders>
              <w:bottom w:val="single" w:sz="4" w:space="0" w:color="auto"/>
            </w:tcBorders>
          </w:tcPr>
          <w:p w14:paraId="7A275A64" w14:textId="77777777" w:rsidR="008E7608" w:rsidRPr="007204AB" w:rsidRDefault="008E7608" w:rsidP="00EE730C">
            <w:pPr>
              <w:jc w:val="left"/>
              <w:rPr>
                <w:b/>
                <w:bCs/>
              </w:rPr>
            </w:pPr>
          </w:p>
        </w:tc>
        <w:tc>
          <w:tcPr>
            <w:tcW w:w="1654" w:type="dxa"/>
            <w:tcBorders>
              <w:top w:val="single" w:sz="4" w:space="0" w:color="auto"/>
              <w:bottom w:val="single" w:sz="4" w:space="0" w:color="auto"/>
            </w:tcBorders>
            <w:shd w:val="clear" w:color="auto" w:fill="auto"/>
          </w:tcPr>
          <w:p w14:paraId="52C3AEFB" w14:textId="77777777" w:rsidR="008E7608" w:rsidRPr="007204AB" w:rsidRDefault="008E7608" w:rsidP="00EE730C">
            <w:pPr>
              <w:jc w:val="left"/>
              <w:rPr>
                <w:b/>
                <w:bCs/>
              </w:rPr>
            </w:pPr>
            <w:r w:rsidRPr="007204AB">
              <w:rPr>
                <w:b/>
                <w:bCs/>
              </w:rPr>
              <w:t>SPR</w:t>
            </w:r>
          </w:p>
        </w:tc>
        <w:tc>
          <w:tcPr>
            <w:tcW w:w="4177" w:type="dxa"/>
            <w:tcBorders>
              <w:top w:val="single" w:sz="4" w:space="0" w:color="auto"/>
              <w:bottom w:val="single" w:sz="4" w:space="0" w:color="auto"/>
            </w:tcBorders>
            <w:shd w:val="clear" w:color="auto" w:fill="auto"/>
          </w:tcPr>
          <w:p w14:paraId="381CA861" w14:textId="77777777" w:rsidR="008E7608" w:rsidRPr="007204AB" w:rsidRDefault="008E7608" w:rsidP="00EE730C">
            <w:pPr>
              <w:jc w:val="left"/>
            </w:pPr>
            <w:r w:rsidRPr="007204AB">
              <w:t xml:space="preserve">AVAP Gambetta – Clémenceau - </w:t>
            </w:r>
            <w:proofErr w:type="spellStart"/>
            <w:r w:rsidRPr="007204AB">
              <w:t>Figuerolles</w:t>
            </w:r>
            <w:proofErr w:type="spellEnd"/>
          </w:p>
        </w:tc>
        <w:tc>
          <w:tcPr>
            <w:tcW w:w="1843" w:type="dxa"/>
            <w:tcBorders>
              <w:top w:val="single" w:sz="4" w:space="0" w:color="auto"/>
              <w:bottom w:val="single" w:sz="4" w:space="0" w:color="auto"/>
            </w:tcBorders>
            <w:shd w:val="clear" w:color="auto" w:fill="auto"/>
          </w:tcPr>
          <w:p w14:paraId="3E7458DF" w14:textId="0F68ED0A" w:rsidR="008E7608" w:rsidRPr="007204AB" w:rsidRDefault="008E7608" w:rsidP="00EE730C">
            <w:pPr>
              <w:jc w:val="left"/>
            </w:pPr>
            <w:r>
              <w:t>29/06/2017</w:t>
            </w:r>
          </w:p>
        </w:tc>
      </w:tr>
    </w:tbl>
    <w:p w14:paraId="0F6915BA" w14:textId="4D7337DE" w:rsidR="00F96590" w:rsidRPr="007204AB" w:rsidRDefault="00F96590">
      <w:pPr>
        <w:jc w:val="left"/>
      </w:pPr>
    </w:p>
    <w:p w14:paraId="62009D46" w14:textId="45A1FC17" w:rsidR="00E365DD" w:rsidRDefault="00E365DD">
      <w:pPr>
        <w:jc w:val="left"/>
      </w:pPr>
      <w:bookmarkStart w:id="1" w:name="_GoBack"/>
      <w:bookmarkEnd w:id="1"/>
    </w:p>
    <w:sectPr w:rsidR="00E365D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6E0A9" w14:textId="77777777" w:rsidR="00443C6A" w:rsidRDefault="00443C6A" w:rsidP="00C07C67">
      <w:r>
        <w:separator/>
      </w:r>
    </w:p>
  </w:endnote>
  <w:endnote w:type="continuationSeparator" w:id="0">
    <w:p w14:paraId="541DCE5C" w14:textId="77777777" w:rsidR="00443C6A" w:rsidRDefault="00443C6A" w:rsidP="00C0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FA8B3" w14:textId="3F66D693" w:rsidR="00A813D5" w:rsidRDefault="00A813D5">
    <w:pPr>
      <w:pStyle w:val="Pieddepage"/>
    </w:pPr>
    <w:r w:rsidRPr="00A05DC0">
      <w:rPr>
        <w:sz w:val="18"/>
        <w:szCs w:val="18"/>
      </w:rPr>
      <w:t>Servitude AC4 – Sites patrimoniaux remarquables et plan de valorisation de l’architecture et du patrimoine - MMM</w:t>
    </w:r>
    <w:r>
      <w:ptab w:relativeTo="margin" w:alignment="right" w:leader="none"/>
    </w:r>
    <w:r>
      <w:fldChar w:fldCharType="begin"/>
    </w:r>
    <w:r>
      <w:instrText>PAGE   \* MERGEFORMAT</w:instrText>
    </w:r>
    <w:r>
      <w:fldChar w:fldCharType="separate"/>
    </w:r>
    <w:r w:rsidR="000B320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5991" w14:textId="2224213A" w:rsidR="00A3167A" w:rsidRPr="006D2C28" w:rsidRDefault="00A3167A" w:rsidP="006D2C28">
    <w:pPr>
      <w:pStyle w:val="Pieddepage"/>
    </w:pPr>
    <w:r w:rsidRPr="00A05DC0">
      <w:rPr>
        <w:sz w:val="18"/>
        <w:szCs w:val="18"/>
      </w:rPr>
      <w:t>Servitude A</w:t>
    </w:r>
    <w:r w:rsidR="00C73112" w:rsidRPr="00A05DC0">
      <w:rPr>
        <w:sz w:val="18"/>
        <w:szCs w:val="18"/>
      </w:rPr>
      <w:t>C</w:t>
    </w:r>
    <w:r w:rsidR="00DF1FBD" w:rsidRPr="00A05DC0">
      <w:rPr>
        <w:sz w:val="18"/>
        <w:szCs w:val="18"/>
      </w:rPr>
      <w:t>4</w:t>
    </w:r>
    <w:r w:rsidRPr="00A05DC0">
      <w:rPr>
        <w:sz w:val="18"/>
        <w:szCs w:val="18"/>
      </w:rPr>
      <w:t xml:space="preserve"> – </w:t>
    </w:r>
    <w:r w:rsidR="00DF1FBD" w:rsidRPr="00A05DC0">
      <w:rPr>
        <w:sz w:val="18"/>
        <w:szCs w:val="18"/>
      </w:rPr>
      <w:t>Sites patrimoniaux remarquables et plan de valorisation de l’architecture et du patrimoine</w:t>
    </w:r>
    <w:r w:rsidRPr="00A05DC0">
      <w:rPr>
        <w:sz w:val="18"/>
        <w:szCs w:val="18"/>
      </w:rPr>
      <w:t xml:space="preserve"> - MMM</w:t>
    </w:r>
    <w:r>
      <w:ptab w:relativeTo="margin" w:alignment="right" w:leader="none"/>
    </w:r>
    <w:r>
      <w:fldChar w:fldCharType="begin"/>
    </w:r>
    <w:r>
      <w:instrText>PAGE   \* MERGEFORMAT</w:instrText>
    </w:r>
    <w:r>
      <w:fldChar w:fldCharType="separate"/>
    </w:r>
    <w:r w:rsidR="000B3201">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E2206" w14:textId="77777777" w:rsidR="00443C6A" w:rsidRDefault="00443C6A" w:rsidP="00C07C67">
      <w:r>
        <w:separator/>
      </w:r>
    </w:p>
  </w:footnote>
  <w:footnote w:type="continuationSeparator" w:id="0">
    <w:p w14:paraId="2EC6A445" w14:textId="77777777" w:rsidR="00443C6A" w:rsidRDefault="00443C6A" w:rsidP="00C07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3C0CD" w14:textId="76BBC676" w:rsidR="00A3167A" w:rsidRDefault="00F24BA8">
    <w:pPr>
      <w:pStyle w:val="En-tte"/>
    </w:pPr>
    <w:r w:rsidRPr="00A9679F">
      <w:rPr>
        <w:noProof/>
        <w:lang w:eastAsia="fr-FR"/>
      </w:rPr>
      <w:drawing>
        <wp:anchor distT="0" distB="0" distL="114300" distR="114300" simplePos="0" relativeHeight="251659264" behindDoc="0" locked="0" layoutInCell="1" allowOverlap="1" wp14:anchorId="183257E1" wp14:editId="4D7ABA8C">
          <wp:simplePos x="0" y="0"/>
          <wp:positionH relativeFrom="column">
            <wp:posOffset>-685800</wp:posOffset>
          </wp:positionH>
          <wp:positionV relativeFrom="paragraph">
            <wp:posOffset>-314960</wp:posOffset>
          </wp:positionV>
          <wp:extent cx="1684201" cy="590550"/>
          <wp:effectExtent l="0" t="0" r="0" b="0"/>
          <wp:wrapNone/>
          <wp:docPr id="28" name="il_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4201" cy="59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3167A">
      <w:ptab w:relativeTo="margin" w:alignment="center" w:leader="none"/>
    </w:r>
    <w:r w:rsidR="00A3167A">
      <w:ptab w:relativeTo="margin" w:alignment="right" w:leader="none"/>
    </w:r>
  </w:p>
  <w:p w14:paraId="3087FFC2" w14:textId="77777777" w:rsidR="00F24BA8" w:rsidRDefault="00F24B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9EA"/>
    <w:multiLevelType w:val="hybridMultilevel"/>
    <w:tmpl w:val="A30A5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7585A"/>
    <w:multiLevelType w:val="hybridMultilevel"/>
    <w:tmpl w:val="6422F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D76A9"/>
    <w:multiLevelType w:val="hybridMultilevel"/>
    <w:tmpl w:val="A11A1232"/>
    <w:lvl w:ilvl="0" w:tplc="15D29676">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DB21520"/>
    <w:multiLevelType w:val="hybridMultilevel"/>
    <w:tmpl w:val="20D04648"/>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3722C5"/>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E16289"/>
    <w:multiLevelType w:val="hybridMultilevel"/>
    <w:tmpl w:val="F3C2E548"/>
    <w:lvl w:ilvl="0" w:tplc="EEACCB2C">
      <w:start w:val="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3DD4502"/>
    <w:multiLevelType w:val="multilevel"/>
    <w:tmpl w:val="5A0E3A3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5248CA"/>
    <w:multiLevelType w:val="hybridMultilevel"/>
    <w:tmpl w:val="833E644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AE083C"/>
    <w:multiLevelType w:val="hybridMultilevel"/>
    <w:tmpl w:val="2698E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AC5361"/>
    <w:multiLevelType w:val="hybridMultilevel"/>
    <w:tmpl w:val="EDC66F4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9F6F6D"/>
    <w:multiLevelType w:val="hybridMultilevel"/>
    <w:tmpl w:val="9BA483DC"/>
    <w:lvl w:ilvl="0" w:tplc="8B06CF5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14CCE"/>
    <w:multiLevelType w:val="hybridMultilevel"/>
    <w:tmpl w:val="53D2F9B4"/>
    <w:lvl w:ilvl="0" w:tplc="27D21192">
      <w:start w:val="1"/>
      <w:numFmt w:val="bullet"/>
      <w:pStyle w:val="numrotation"/>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E336D"/>
    <w:multiLevelType w:val="hybridMultilevel"/>
    <w:tmpl w:val="19C63CA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245D61"/>
    <w:multiLevelType w:val="multilevel"/>
    <w:tmpl w:val="9EB61FAC"/>
    <w:lvl w:ilvl="0">
      <w:start w:val="1"/>
      <w:numFmt w:val="decimal"/>
      <w:pStyle w:val="Titre4"/>
      <w:lvlText w:val="%1."/>
      <w:lvlJc w:val="left"/>
      <w:pPr>
        <w:ind w:left="720" w:hanging="360"/>
      </w:pPr>
      <w:rPr>
        <w:rFonts w:hint="default"/>
      </w:rPr>
    </w:lvl>
    <w:lvl w:ilvl="1">
      <w:start w:val="1"/>
      <w:numFmt w:val="decimal"/>
      <w:pStyle w:val="Titre5"/>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23C7740"/>
    <w:multiLevelType w:val="hybridMultilevel"/>
    <w:tmpl w:val="29EA63D6"/>
    <w:lvl w:ilvl="0" w:tplc="2FBEE33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9949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29621B"/>
    <w:multiLevelType w:val="hybridMultilevel"/>
    <w:tmpl w:val="4CC2FCBA"/>
    <w:lvl w:ilvl="0" w:tplc="E48C5FC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9002FD"/>
    <w:multiLevelType w:val="hybridMultilevel"/>
    <w:tmpl w:val="5086BADE"/>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1A6E85"/>
    <w:multiLevelType w:val="hybridMultilevel"/>
    <w:tmpl w:val="687607B2"/>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302E7C"/>
    <w:multiLevelType w:val="multilevel"/>
    <w:tmpl w:val="8D5ED040"/>
    <w:styleLink w:val="Listeactuelle1"/>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1174727"/>
    <w:multiLevelType w:val="hybridMultilevel"/>
    <w:tmpl w:val="ADFC2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2542FD"/>
    <w:multiLevelType w:val="hybridMultilevel"/>
    <w:tmpl w:val="A27AC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AC241A"/>
    <w:multiLevelType w:val="hybridMultilevel"/>
    <w:tmpl w:val="39365BC6"/>
    <w:lvl w:ilvl="0" w:tplc="2FBEE33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C95168"/>
    <w:multiLevelType w:val="hybridMultilevel"/>
    <w:tmpl w:val="7772C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5466C7"/>
    <w:multiLevelType w:val="hybridMultilevel"/>
    <w:tmpl w:val="AB9AA67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0D6EDA"/>
    <w:multiLevelType w:val="hybridMultilevel"/>
    <w:tmpl w:val="F2727E86"/>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C24FC1"/>
    <w:multiLevelType w:val="hybridMultilevel"/>
    <w:tmpl w:val="73EC9558"/>
    <w:lvl w:ilvl="0" w:tplc="BEAE96B0">
      <w:start w:val="1"/>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64CC2377"/>
    <w:multiLevelType w:val="hybridMultilevel"/>
    <w:tmpl w:val="729C3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2B527B"/>
    <w:multiLevelType w:val="hybridMultilevel"/>
    <w:tmpl w:val="1D245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1E1595"/>
    <w:multiLevelType w:val="hybridMultilevel"/>
    <w:tmpl w:val="3F562ACA"/>
    <w:lvl w:ilvl="0" w:tplc="203AB0A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842D57"/>
    <w:multiLevelType w:val="hybridMultilevel"/>
    <w:tmpl w:val="AB9AA67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60534E"/>
    <w:multiLevelType w:val="hybridMultilevel"/>
    <w:tmpl w:val="1DF83994"/>
    <w:lvl w:ilvl="0" w:tplc="64DCA22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0"/>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1"/>
  </w:num>
  <w:num w:numId="13">
    <w:abstractNumId w:val="17"/>
  </w:num>
  <w:num w:numId="14">
    <w:abstractNumId w:val="12"/>
  </w:num>
  <w:num w:numId="15">
    <w:abstractNumId w:val="5"/>
  </w:num>
  <w:num w:numId="16">
    <w:abstractNumId w:val="2"/>
  </w:num>
  <w:num w:numId="17">
    <w:abstractNumId w:val="26"/>
  </w:num>
  <w:num w:numId="18">
    <w:abstractNumId w:val="29"/>
  </w:num>
  <w:num w:numId="19">
    <w:abstractNumId w:val="18"/>
  </w:num>
  <w:num w:numId="20">
    <w:abstractNumId w:val="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7"/>
  </w:num>
  <w:num w:numId="24">
    <w:abstractNumId w:val="4"/>
  </w:num>
  <w:num w:numId="25">
    <w:abstractNumId w:val="8"/>
  </w:num>
  <w:num w:numId="26">
    <w:abstractNumId w:val="20"/>
  </w:num>
  <w:num w:numId="27">
    <w:abstractNumId w:val="16"/>
  </w:num>
  <w:num w:numId="28">
    <w:abstractNumId w:val="22"/>
  </w:num>
  <w:num w:numId="29">
    <w:abstractNumId w:val="1"/>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9"/>
  </w:num>
  <w:num w:numId="35">
    <w:abstractNumId w:val="13"/>
    <w:lvlOverride w:ilvl="0">
      <w:startOverride w:val="3"/>
    </w:lvlOverride>
  </w:num>
  <w:num w:numId="36">
    <w:abstractNumId w:val="3"/>
  </w:num>
  <w:num w:numId="37">
    <w:abstractNumId w:val="7"/>
  </w:num>
  <w:num w:numId="38">
    <w:abstractNumId w:val="31"/>
  </w:num>
  <w:num w:numId="39">
    <w:abstractNumId w:val="23"/>
  </w:num>
  <w:num w:numId="40">
    <w:abstractNumId w:val="14"/>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24"/>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FF"/>
    <w:rsid w:val="00007101"/>
    <w:rsid w:val="00012831"/>
    <w:rsid w:val="00066C31"/>
    <w:rsid w:val="000A3EC4"/>
    <w:rsid w:val="000B0B3C"/>
    <w:rsid w:val="000B3201"/>
    <w:rsid w:val="000C3A55"/>
    <w:rsid w:val="000C4863"/>
    <w:rsid w:val="000E34F7"/>
    <w:rsid w:val="000F0C10"/>
    <w:rsid w:val="0017718E"/>
    <w:rsid w:val="001E02D2"/>
    <w:rsid w:val="00220E16"/>
    <w:rsid w:val="00267841"/>
    <w:rsid w:val="002B1061"/>
    <w:rsid w:val="002F15A4"/>
    <w:rsid w:val="00325B7F"/>
    <w:rsid w:val="00366A96"/>
    <w:rsid w:val="003743D0"/>
    <w:rsid w:val="003B3E82"/>
    <w:rsid w:val="00443C6A"/>
    <w:rsid w:val="00446D59"/>
    <w:rsid w:val="00453EA2"/>
    <w:rsid w:val="004712BA"/>
    <w:rsid w:val="00481B06"/>
    <w:rsid w:val="004C16DD"/>
    <w:rsid w:val="004D10AB"/>
    <w:rsid w:val="004E0F6B"/>
    <w:rsid w:val="004F4CBF"/>
    <w:rsid w:val="00536253"/>
    <w:rsid w:val="00537933"/>
    <w:rsid w:val="00550151"/>
    <w:rsid w:val="005C63F5"/>
    <w:rsid w:val="005E17E8"/>
    <w:rsid w:val="0060464C"/>
    <w:rsid w:val="006D2C28"/>
    <w:rsid w:val="007204AB"/>
    <w:rsid w:val="007448B0"/>
    <w:rsid w:val="007711A9"/>
    <w:rsid w:val="007B7E1C"/>
    <w:rsid w:val="007D467D"/>
    <w:rsid w:val="00822B5F"/>
    <w:rsid w:val="00846F4A"/>
    <w:rsid w:val="00863BC5"/>
    <w:rsid w:val="00895474"/>
    <w:rsid w:val="008B623C"/>
    <w:rsid w:val="008C15C1"/>
    <w:rsid w:val="008E7608"/>
    <w:rsid w:val="00930948"/>
    <w:rsid w:val="00984DFF"/>
    <w:rsid w:val="009C11A1"/>
    <w:rsid w:val="009C1953"/>
    <w:rsid w:val="009C777C"/>
    <w:rsid w:val="00A05DC0"/>
    <w:rsid w:val="00A3167A"/>
    <w:rsid w:val="00A6176A"/>
    <w:rsid w:val="00A813D5"/>
    <w:rsid w:val="00A83BC1"/>
    <w:rsid w:val="00A939D7"/>
    <w:rsid w:val="00B33F0E"/>
    <w:rsid w:val="00B87FA0"/>
    <w:rsid w:val="00B93CD7"/>
    <w:rsid w:val="00BD541E"/>
    <w:rsid w:val="00BF5503"/>
    <w:rsid w:val="00C07C67"/>
    <w:rsid w:val="00C11BD7"/>
    <w:rsid w:val="00C373D6"/>
    <w:rsid w:val="00C73112"/>
    <w:rsid w:val="00CB247A"/>
    <w:rsid w:val="00CD1C32"/>
    <w:rsid w:val="00CD47FC"/>
    <w:rsid w:val="00CE5B23"/>
    <w:rsid w:val="00D312A2"/>
    <w:rsid w:val="00D32D2F"/>
    <w:rsid w:val="00D74615"/>
    <w:rsid w:val="00D80C8E"/>
    <w:rsid w:val="00D85A19"/>
    <w:rsid w:val="00DB28F5"/>
    <w:rsid w:val="00DF1FBD"/>
    <w:rsid w:val="00E365DD"/>
    <w:rsid w:val="00E5270C"/>
    <w:rsid w:val="00E74964"/>
    <w:rsid w:val="00EB0DA6"/>
    <w:rsid w:val="00EE39EC"/>
    <w:rsid w:val="00F24BA8"/>
    <w:rsid w:val="00F96590"/>
    <w:rsid w:val="00FC42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EAC564"/>
  <w15:chartTrackingRefBased/>
  <w15:docId w15:val="{49B3A4DF-EFAA-487F-A326-DAD5BCCC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67"/>
    <w:pPr>
      <w:jc w:val="both"/>
    </w:pPr>
  </w:style>
  <w:style w:type="paragraph" w:styleId="Titre1">
    <w:name w:val="heading 1"/>
    <w:basedOn w:val="Normal"/>
    <w:next w:val="Normal"/>
    <w:link w:val="Titre1Car"/>
    <w:uiPriority w:val="9"/>
    <w:qFormat/>
    <w:rsid w:val="00984DFF"/>
    <w:pPr>
      <w:jc w:val="center"/>
      <w:outlineLvl w:val="0"/>
    </w:pPr>
    <w:rPr>
      <w:color w:val="2F5496" w:themeColor="accent1" w:themeShade="BF"/>
      <w:sz w:val="64"/>
      <w:szCs w:val="64"/>
    </w:rPr>
  </w:style>
  <w:style w:type="paragraph" w:styleId="Titre2">
    <w:name w:val="heading 2"/>
    <w:basedOn w:val="Normal"/>
    <w:next w:val="Normal"/>
    <w:link w:val="Titre2Car"/>
    <w:uiPriority w:val="9"/>
    <w:unhideWhenUsed/>
    <w:qFormat/>
    <w:rsid w:val="00984DFF"/>
    <w:pPr>
      <w:spacing w:after="0" w:line="240" w:lineRule="auto"/>
      <w:jc w:val="center"/>
      <w:outlineLvl w:val="1"/>
    </w:pPr>
    <w:rPr>
      <w:b/>
      <w:bCs/>
      <w:sz w:val="32"/>
      <w:szCs w:val="32"/>
    </w:rPr>
  </w:style>
  <w:style w:type="paragraph" w:styleId="Titre3">
    <w:name w:val="heading 3"/>
    <w:basedOn w:val="Normal"/>
    <w:next w:val="Normal"/>
    <w:link w:val="Titre3Car"/>
    <w:uiPriority w:val="9"/>
    <w:unhideWhenUsed/>
    <w:qFormat/>
    <w:rsid w:val="00C07C67"/>
    <w:pPr>
      <w:spacing w:after="0"/>
      <w:jc w:val="center"/>
      <w:outlineLvl w:val="2"/>
    </w:pPr>
    <w:rPr>
      <w:b/>
      <w:bCs/>
    </w:rPr>
  </w:style>
  <w:style w:type="paragraph" w:styleId="Titre4">
    <w:name w:val="heading 4"/>
    <w:basedOn w:val="Paragraphedeliste"/>
    <w:next w:val="Normal"/>
    <w:link w:val="Titre4Car"/>
    <w:uiPriority w:val="9"/>
    <w:unhideWhenUsed/>
    <w:qFormat/>
    <w:rsid w:val="00EE39EC"/>
    <w:pPr>
      <w:numPr>
        <w:numId w:val="33"/>
      </w:numPr>
      <w:spacing w:before="480"/>
      <w:outlineLvl w:val="3"/>
    </w:pPr>
    <w:rPr>
      <w:b/>
      <w:bCs/>
      <w:sz w:val="36"/>
      <w:szCs w:val="36"/>
    </w:rPr>
  </w:style>
  <w:style w:type="paragraph" w:styleId="Titre5">
    <w:name w:val="heading 5"/>
    <w:basedOn w:val="Paragraphedeliste"/>
    <w:next w:val="Normal"/>
    <w:link w:val="Titre5Car"/>
    <w:uiPriority w:val="9"/>
    <w:unhideWhenUsed/>
    <w:qFormat/>
    <w:rsid w:val="004E0F6B"/>
    <w:pPr>
      <w:numPr>
        <w:ilvl w:val="1"/>
        <w:numId w:val="33"/>
      </w:numPr>
      <w:tabs>
        <w:tab w:val="left" w:pos="993"/>
      </w:tabs>
      <w:spacing w:before="360"/>
      <w:outlineLvl w:val="4"/>
    </w:pPr>
    <w:rPr>
      <w:b/>
      <w:bCs/>
      <w:color w:val="808080" w:themeColor="background1" w:themeShade="80"/>
      <w:sz w:val="32"/>
      <w:szCs w:val="32"/>
    </w:rPr>
  </w:style>
  <w:style w:type="paragraph" w:styleId="Titre6">
    <w:name w:val="heading 6"/>
    <w:basedOn w:val="Normal"/>
    <w:next w:val="Normal"/>
    <w:link w:val="Titre6Car"/>
    <w:uiPriority w:val="9"/>
    <w:unhideWhenUsed/>
    <w:qFormat/>
    <w:rsid w:val="004E0F6B"/>
    <w:pPr>
      <w:spacing w:before="120"/>
      <w:outlineLvl w:val="5"/>
    </w:pPr>
    <w:rPr>
      <w:rFonts w:ascii="Arial" w:eastAsia="Arial" w:hAnsi="Arial" w:cs="Arial"/>
      <w:b/>
      <w:bCs/>
      <w:color w:val="000000"/>
      <w:spacing w:val="-4"/>
    </w:rPr>
  </w:style>
  <w:style w:type="paragraph" w:styleId="Titre7">
    <w:name w:val="heading 7"/>
    <w:basedOn w:val="Normal"/>
    <w:next w:val="Normal"/>
    <w:link w:val="Titre7Car"/>
    <w:uiPriority w:val="9"/>
    <w:unhideWhenUsed/>
    <w:qFormat/>
    <w:rsid w:val="00846F4A"/>
    <w:pPr>
      <w:spacing w:before="240"/>
      <w:outlineLvl w:val="6"/>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84DFF"/>
    <w:pPr>
      <w:tabs>
        <w:tab w:val="center" w:pos="4536"/>
        <w:tab w:val="right" w:pos="9072"/>
      </w:tabs>
      <w:spacing w:after="0" w:line="240" w:lineRule="auto"/>
    </w:pPr>
  </w:style>
  <w:style w:type="character" w:customStyle="1" w:styleId="En-tteCar">
    <w:name w:val="En-tête Car"/>
    <w:basedOn w:val="Policepardfaut"/>
    <w:link w:val="En-tte"/>
    <w:uiPriority w:val="99"/>
    <w:rsid w:val="00984DFF"/>
  </w:style>
  <w:style w:type="paragraph" w:styleId="Pieddepage">
    <w:name w:val="footer"/>
    <w:basedOn w:val="Normal"/>
    <w:link w:val="PieddepageCar"/>
    <w:uiPriority w:val="99"/>
    <w:unhideWhenUsed/>
    <w:rsid w:val="00984D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DFF"/>
  </w:style>
  <w:style w:type="character" w:customStyle="1" w:styleId="Titre1Car">
    <w:name w:val="Titre 1 Car"/>
    <w:basedOn w:val="Policepardfaut"/>
    <w:link w:val="Titre1"/>
    <w:uiPriority w:val="9"/>
    <w:rsid w:val="00984DFF"/>
    <w:rPr>
      <w:color w:val="2F5496" w:themeColor="accent1" w:themeShade="BF"/>
      <w:sz w:val="64"/>
      <w:szCs w:val="64"/>
    </w:rPr>
  </w:style>
  <w:style w:type="table" w:styleId="Grilledutableau">
    <w:name w:val="Table Grid"/>
    <w:basedOn w:val="TableauNormal"/>
    <w:uiPriority w:val="39"/>
    <w:rsid w:val="00984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984DFF"/>
    <w:rPr>
      <w:b/>
      <w:bCs/>
      <w:sz w:val="32"/>
      <w:szCs w:val="32"/>
    </w:rPr>
  </w:style>
  <w:style w:type="character" w:customStyle="1" w:styleId="Titre3Car">
    <w:name w:val="Titre 3 Car"/>
    <w:basedOn w:val="Policepardfaut"/>
    <w:link w:val="Titre3"/>
    <w:uiPriority w:val="9"/>
    <w:rsid w:val="00C07C67"/>
    <w:rPr>
      <w:b/>
      <w:bCs/>
    </w:rPr>
  </w:style>
  <w:style w:type="paragraph" w:styleId="Paragraphedeliste">
    <w:name w:val="List Paragraph"/>
    <w:basedOn w:val="Normal"/>
    <w:link w:val="ParagraphedelisteCar"/>
    <w:uiPriority w:val="34"/>
    <w:qFormat/>
    <w:rsid w:val="00C07C67"/>
    <w:pPr>
      <w:ind w:left="720"/>
      <w:contextualSpacing/>
    </w:pPr>
  </w:style>
  <w:style w:type="character" w:customStyle="1" w:styleId="Titre4Car">
    <w:name w:val="Titre 4 Car"/>
    <w:basedOn w:val="Policepardfaut"/>
    <w:link w:val="Titre4"/>
    <w:uiPriority w:val="9"/>
    <w:rsid w:val="00EE39EC"/>
    <w:rPr>
      <w:b/>
      <w:bCs/>
      <w:sz w:val="36"/>
      <w:szCs w:val="36"/>
    </w:rPr>
  </w:style>
  <w:style w:type="character" w:customStyle="1" w:styleId="Titre5Car">
    <w:name w:val="Titre 5 Car"/>
    <w:basedOn w:val="Policepardfaut"/>
    <w:link w:val="Titre5"/>
    <w:uiPriority w:val="9"/>
    <w:rsid w:val="004E0F6B"/>
    <w:rPr>
      <w:b/>
      <w:bCs/>
      <w:color w:val="808080" w:themeColor="background1" w:themeShade="80"/>
      <w:sz w:val="32"/>
      <w:szCs w:val="32"/>
    </w:rPr>
  </w:style>
  <w:style w:type="paragraph" w:customStyle="1" w:styleId="numrotation">
    <w:name w:val="numérotation"/>
    <w:basedOn w:val="Paragraphedeliste"/>
    <w:link w:val="numrotationCar"/>
    <w:qFormat/>
    <w:rsid w:val="004E0F6B"/>
    <w:pPr>
      <w:numPr>
        <w:numId w:val="3"/>
      </w:numPr>
    </w:pPr>
  </w:style>
  <w:style w:type="character" w:customStyle="1" w:styleId="Titre6Car">
    <w:name w:val="Titre 6 Car"/>
    <w:basedOn w:val="Policepardfaut"/>
    <w:link w:val="Titre6"/>
    <w:uiPriority w:val="9"/>
    <w:rsid w:val="004E0F6B"/>
    <w:rPr>
      <w:rFonts w:ascii="Arial" w:eastAsia="Arial" w:hAnsi="Arial" w:cs="Arial"/>
      <w:b/>
      <w:bCs/>
      <w:color w:val="000000"/>
      <w:spacing w:val="-4"/>
    </w:rPr>
  </w:style>
  <w:style w:type="character" w:customStyle="1" w:styleId="ParagraphedelisteCar">
    <w:name w:val="Paragraphe de liste Car"/>
    <w:basedOn w:val="Policepardfaut"/>
    <w:link w:val="Paragraphedeliste"/>
    <w:uiPriority w:val="34"/>
    <w:rsid w:val="004E0F6B"/>
  </w:style>
  <w:style w:type="character" w:customStyle="1" w:styleId="numrotationCar">
    <w:name w:val="numérotation Car"/>
    <w:basedOn w:val="ParagraphedelisteCar"/>
    <w:link w:val="numrotation"/>
    <w:rsid w:val="004E0F6B"/>
  </w:style>
  <w:style w:type="character" w:customStyle="1" w:styleId="Titre7Car">
    <w:name w:val="Titre 7 Car"/>
    <w:basedOn w:val="Policepardfaut"/>
    <w:link w:val="Titre7"/>
    <w:uiPriority w:val="9"/>
    <w:rsid w:val="00846F4A"/>
    <w:rPr>
      <w:sz w:val="24"/>
      <w:szCs w:val="24"/>
      <w:u w:val="single"/>
    </w:rPr>
  </w:style>
  <w:style w:type="paragraph" w:styleId="Notedebasdepage">
    <w:name w:val="footnote text"/>
    <w:basedOn w:val="Normal"/>
    <w:link w:val="NotedebasdepageCar"/>
    <w:uiPriority w:val="99"/>
    <w:semiHidden/>
    <w:unhideWhenUsed/>
    <w:rsid w:val="00C7311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112"/>
    <w:rPr>
      <w:sz w:val="20"/>
      <w:szCs w:val="20"/>
    </w:rPr>
  </w:style>
  <w:style w:type="character" w:styleId="Appelnotedebasdep">
    <w:name w:val="footnote reference"/>
    <w:basedOn w:val="Policepardfaut"/>
    <w:uiPriority w:val="99"/>
    <w:semiHidden/>
    <w:unhideWhenUsed/>
    <w:rsid w:val="00C73112"/>
    <w:rPr>
      <w:vertAlign w:val="superscript"/>
    </w:rPr>
  </w:style>
  <w:style w:type="paragraph" w:customStyle="1" w:styleId="Default">
    <w:name w:val="Default"/>
    <w:rsid w:val="00B87FA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863BC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numbering" w:customStyle="1" w:styleId="Listeactuelle1">
    <w:name w:val="Liste actuelle1"/>
    <w:uiPriority w:val="99"/>
    <w:rsid w:val="00863BC5"/>
    <w:pPr>
      <w:numPr>
        <w:numId w:val="34"/>
      </w:numPr>
    </w:pPr>
  </w:style>
  <w:style w:type="paragraph" w:styleId="Textedebulles">
    <w:name w:val="Balloon Text"/>
    <w:basedOn w:val="Normal"/>
    <w:link w:val="TextedebullesCar"/>
    <w:uiPriority w:val="99"/>
    <w:semiHidden/>
    <w:unhideWhenUsed/>
    <w:rsid w:val="00A939D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939D7"/>
    <w:rPr>
      <w:rFonts w:ascii="Segoe UI" w:hAnsi="Segoe UI" w:cs="Segoe UI"/>
      <w:sz w:val="18"/>
      <w:szCs w:val="18"/>
    </w:rPr>
  </w:style>
  <w:style w:type="paragraph" w:styleId="Rvision">
    <w:name w:val="Revision"/>
    <w:hidden/>
    <w:uiPriority w:val="99"/>
    <w:semiHidden/>
    <w:rsid w:val="000A3EC4"/>
    <w:pPr>
      <w:spacing w:after="0" w:line="240" w:lineRule="auto"/>
    </w:pPr>
  </w:style>
  <w:style w:type="character" w:styleId="Marquedecommentaire">
    <w:name w:val="annotation reference"/>
    <w:basedOn w:val="Policepardfaut"/>
    <w:uiPriority w:val="99"/>
    <w:semiHidden/>
    <w:unhideWhenUsed/>
    <w:rsid w:val="000A3EC4"/>
    <w:rPr>
      <w:sz w:val="16"/>
      <w:szCs w:val="16"/>
    </w:rPr>
  </w:style>
  <w:style w:type="paragraph" w:styleId="Commentaire">
    <w:name w:val="annotation text"/>
    <w:basedOn w:val="Normal"/>
    <w:link w:val="CommentaireCar"/>
    <w:uiPriority w:val="99"/>
    <w:semiHidden/>
    <w:unhideWhenUsed/>
    <w:rsid w:val="000A3EC4"/>
    <w:pPr>
      <w:spacing w:line="240" w:lineRule="auto"/>
    </w:pPr>
    <w:rPr>
      <w:sz w:val="20"/>
      <w:szCs w:val="20"/>
    </w:rPr>
  </w:style>
  <w:style w:type="character" w:customStyle="1" w:styleId="CommentaireCar">
    <w:name w:val="Commentaire Car"/>
    <w:basedOn w:val="Policepardfaut"/>
    <w:link w:val="Commentaire"/>
    <w:uiPriority w:val="99"/>
    <w:semiHidden/>
    <w:rsid w:val="000A3EC4"/>
    <w:rPr>
      <w:sz w:val="20"/>
      <w:szCs w:val="20"/>
    </w:rPr>
  </w:style>
  <w:style w:type="paragraph" w:styleId="Objetducommentaire">
    <w:name w:val="annotation subject"/>
    <w:basedOn w:val="Commentaire"/>
    <w:next w:val="Commentaire"/>
    <w:link w:val="ObjetducommentaireCar"/>
    <w:uiPriority w:val="99"/>
    <w:semiHidden/>
    <w:unhideWhenUsed/>
    <w:rsid w:val="000A3EC4"/>
    <w:rPr>
      <w:b/>
      <w:bCs/>
    </w:rPr>
  </w:style>
  <w:style w:type="character" w:customStyle="1" w:styleId="ObjetducommentaireCar">
    <w:name w:val="Objet du commentaire Car"/>
    <w:basedOn w:val="CommentaireCar"/>
    <w:link w:val="Objetducommentaire"/>
    <w:uiPriority w:val="99"/>
    <w:semiHidden/>
    <w:rsid w:val="000A3E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833409">
      <w:bodyDiv w:val="1"/>
      <w:marLeft w:val="0"/>
      <w:marRight w:val="0"/>
      <w:marTop w:val="0"/>
      <w:marBottom w:val="0"/>
      <w:divBdr>
        <w:top w:val="none" w:sz="0" w:space="0" w:color="auto"/>
        <w:left w:val="none" w:sz="0" w:space="0" w:color="auto"/>
        <w:bottom w:val="none" w:sz="0" w:space="0" w:color="auto"/>
        <w:right w:val="none" w:sz="0" w:space="0" w:color="auto"/>
      </w:divBdr>
      <w:divsChild>
        <w:div w:id="1901020030">
          <w:marLeft w:val="0"/>
          <w:marRight w:val="0"/>
          <w:marTop w:val="0"/>
          <w:marBottom w:val="0"/>
          <w:divBdr>
            <w:top w:val="none" w:sz="0" w:space="0" w:color="auto"/>
            <w:left w:val="none" w:sz="0" w:space="0" w:color="auto"/>
            <w:bottom w:val="none" w:sz="0" w:space="0" w:color="auto"/>
            <w:right w:val="none" w:sz="0" w:space="0" w:color="auto"/>
          </w:divBdr>
          <w:divsChild>
            <w:div w:id="1397245359">
              <w:marLeft w:val="0"/>
              <w:marRight w:val="0"/>
              <w:marTop w:val="0"/>
              <w:marBottom w:val="0"/>
              <w:divBdr>
                <w:top w:val="none" w:sz="0" w:space="0" w:color="auto"/>
                <w:left w:val="none" w:sz="0" w:space="0" w:color="auto"/>
                <w:bottom w:val="none" w:sz="0" w:space="0" w:color="auto"/>
                <w:right w:val="none" w:sz="0" w:space="0" w:color="auto"/>
              </w:divBdr>
              <w:divsChild>
                <w:div w:id="12237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60145">
      <w:bodyDiv w:val="1"/>
      <w:marLeft w:val="0"/>
      <w:marRight w:val="0"/>
      <w:marTop w:val="0"/>
      <w:marBottom w:val="0"/>
      <w:divBdr>
        <w:top w:val="none" w:sz="0" w:space="0" w:color="auto"/>
        <w:left w:val="none" w:sz="0" w:space="0" w:color="auto"/>
        <w:bottom w:val="none" w:sz="0" w:space="0" w:color="auto"/>
        <w:right w:val="none" w:sz="0" w:space="0" w:color="auto"/>
      </w:divBdr>
    </w:div>
    <w:div w:id="1699818222">
      <w:bodyDiv w:val="1"/>
      <w:marLeft w:val="0"/>
      <w:marRight w:val="0"/>
      <w:marTop w:val="0"/>
      <w:marBottom w:val="0"/>
      <w:divBdr>
        <w:top w:val="none" w:sz="0" w:space="0" w:color="auto"/>
        <w:left w:val="none" w:sz="0" w:space="0" w:color="auto"/>
        <w:bottom w:val="none" w:sz="0" w:space="0" w:color="auto"/>
        <w:right w:val="none" w:sz="0" w:space="0" w:color="auto"/>
      </w:divBdr>
      <w:divsChild>
        <w:div w:id="1161458712">
          <w:marLeft w:val="0"/>
          <w:marRight w:val="0"/>
          <w:marTop w:val="0"/>
          <w:marBottom w:val="0"/>
          <w:divBdr>
            <w:top w:val="none" w:sz="0" w:space="0" w:color="auto"/>
            <w:left w:val="none" w:sz="0" w:space="0" w:color="auto"/>
            <w:bottom w:val="none" w:sz="0" w:space="0" w:color="auto"/>
            <w:right w:val="none" w:sz="0" w:space="0" w:color="auto"/>
          </w:divBdr>
          <w:divsChild>
            <w:div w:id="2090031132">
              <w:marLeft w:val="0"/>
              <w:marRight w:val="0"/>
              <w:marTop w:val="0"/>
              <w:marBottom w:val="0"/>
              <w:divBdr>
                <w:top w:val="none" w:sz="0" w:space="0" w:color="auto"/>
                <w:left w:val="none" w:sz="0" w:space="0" w:color="auto"/>
                <w:bottom w:val="none" w:sz="0" w:space="0" w:color="auto"/>
                <w:right w:val="none" w:sz="0" w:space="0" w:color="auto"/>
              </w:divBdr>
              <w:divsChild>
                <w:div w:id="208217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8</Pages>
  <Words>1972</Words>
  <Characters>10846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FREMIOT Julien</dc:creator>
  <cp:keywords/>
  <dc:description/>
  <cp:lastModifiedBy>FILIPIAK alban</cp:lastModifiedBy>
  <cp:revision>42</cp:revision>
  <dcterms:created xsi:type="dcterms:W3CDTF">2022-07-12T09:12:00Z</dcterms:created>
  <dcterms:modified xsi:type="dcterms:W3CDTF">2024-09-24T09:23:00Z</dcterms:modified>
</cp:coreProperties>
</file>